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4F7" w:rsidRPr="00A67164" w:rsidRDefault="00BC24F7" w:rsidP="00BC24F7">
      <w:pPr>
        <w:jc w:val="center"/>
        <w:rPr>
          <w:b/>
          <w:sz w:val="20"/>
          <w:szCs w:val="20"/>
        </w:rPr>
      </w:pPr>
      <w:r w:rsidRPr="00A67164">
        <w:rPr>
          <w:b/>
          <w:bCs/>
          <w:color w:val="1F497D"/>
          <w:sz w:val="20"/>
          <w:szCs w:val="20"/>
        </w:rPr>
        <w:t>WHO Technical Guidance Notes on Sendai Framework reporting for Ministries of Health</w:t>
      </w:r>
    </w:p>
    <w:p w:rsidR="008B171B" w:rsidRDefault="008B171B" w:rsidP="00411A1B">
      <w:pPr>
        <w:spacing w:after="0" w:line="240" w:lineRule="auto"/>
        <w:rPr>
          <w:b/>
        </w:rPr>
      </w:pPr>
      <w:r>
        <w:rPr>
          <w:b/>
        </w:rPr>
        <w:t>Target</w:t>
      </w:r>
      <w:r w:rsidR="00411A1B">
        <w:rPr>
          <w:b/>
        </w:rPr>
        <w:t xml:space="preserve"> F</w:t>
      </w:r>
      <w:r>
        <w:rPr>
          <w:b/>
        </w:rPr>
        <w:t>:</w:t>
      </w:r>
      <w:r w:rsidR="003D1C3F">
        <w:rPr>
          <w:b/>
        </w:rPr>
        <w:t xml:space="preserve"> </w:t>
      </w:r>
      <w:r w:rsidR="00411A1B">
        <w:rPr>
          <w:b/>
        </w:rPr>
        <w:t>Substantially enhance international cooperation to developing countries through adequate and sustainable support to complement their national actions for implementation of this framework by 2030</w:t>
      </w:r>
      <w:r>
        <w:rPr>
          <w:b/>
        </w:rPr>
        <w:t xml:space="preserve"> </w:t>
      </w:r>
    </w:p>
    <w:p w:rsidR="008B171B" w:rsidRDefault="008B171B" w:rsidP="008B171B">
      <w:pPr>
        <w:spacing w:after="0" w:line="360" w:lineRule="auto"/>
        <w:rPr>
          <w:color w:val="0000CC"/>
        </w:rPr>
      </w:pPr>
    </w:p>
    <w:p w:rsidR="00396073" w:rsidRPr="008B171B" w:rsidRDefault="00396073" w:rsidP="00335C8E">
      <w:pPr>
        <w:spacing w:after="0" w:line="240" w:lineRule="auto"/>
        <w:rPr>
          <w:color w:val="0000CC"/>
        </w:rPr>
      </w:pPr>
      <w:r>
        <w:t>The commitment to provide support to developing countries’ national disaster risk reduction (DRR) actions was made in Sendai Framework</w:t>
      </w:r>
      <w:r w:rsidR="00335C8E">
        <w:t xml:space="preserve">.  Target F seeks to enhance international cooperation to developing countries, which particular emphasis on least developed countries, </w:t>
      </w:r>
      <w:r w:rsidR="00560C66">
        <w:t>Small Island</w:t>
      </w:r>
      <w:r w:rsidR="00335C8E">
        <w:t xml:space="preserve"> developing States, landlocked developing countries and African countries, as well as middle-income countries facing specific challenges.</w:t>
      </w:r>
    </w:p>
    <w:p w:rsidR="001335E7" w:rsidRPr="00411A1B" w:rsidRDefault="001335E7" w:rsidP="00411A1B">
      <w:pPr>
        <w:spacing w:after="0" w:line="240" w:lineRule="auto"/>
      </w:pPr>
    </w:p>
    <w:p w:rsidR="008B171B" w:rsidRDefault="008B171B" w:rsidP="008B171B">
      <w:pPr>
        <w:pStyle w:val="ListParagraph"/>
        <w:numPr>
          <w:ilvl w:val="0"/>
          <w:numId w:val="1"/>
        </w:numPr>
        <w:spacing w:after="0" w:line="360" w:lineRule="auto"/>
        <w:ind w:left="426"/>
        <w:rPr>
          <w:b/>
        </w:rPr>
      </w:pPr>
      <w:r>
        <w:rPr>
          <w:b/>
        </w:rPr>
        <w:t>Indicator</w:t>
      </w:r>
    </w:p>
    <w:p w:rsidR="00411A1B" w:rsidRDefault="00411A1B" w:rsidP="00411A1B">
      <w:pPr>
        <w:spacing w:after="0" w:line="240" w:lineRule="auto"/>
        <w:ind w:left="68"/>
      </w:pPr>
      <w:r>
        <w:t>The table below lists the indicators recommended by the OIEWG for the measurement of global Target F of the Sendai Framework, which was endorsed by the UN General Assembly in its Resolution A/RES/71/276</w:t>
      </w:r>
    </w:p>
    <w:p w:rsidR="00411A1B" w:rsidRPr="00411A1B" w:rsidRDefault="00411A1B" w:rsidP="00411A1B">
      <w:pPr>
        <w:spacing w:after="0" w:line="360" w:lineRule="auto"/>
        <w:ind w:left="66"/>
      </w:pPr>
    </w:p>
    <w:tbl>
      <w:tblPr>
        <w:tblStyle w:val="MediumGrid3-Accent1"/>
        <w:tblW w:w="4813" w:type="pct"/>
        <w:tblLook w:val="0620" w:firstRow="1" w:lastRow="0" w:firstColumn="0" w:lastColumn="0" w:noHBand="1" w:noVBand="1"/>
      </w:tblPr>
      <w:tblGrid>
        <w:gridCol w:w="575"/>
        <w:gridCol w:w="5451"/>
        <w:gridCol w:w="1171"/>
        <w:gridCol w:w="1699"/>
      </w:tblGrid>
      <w:tr w:rsidR="00560C66" w:rsidRPr="00592FE6" w:rsidTr="00A71372">
        <w:trPr>
          <w:cnfStyle w:val="100000000000" w:firstRow="1" w:lastRow="0" w:firstColumn="0" w:lastColumn="0" w:oddVBand="0" w:evenVBand="0" w:oddHBand="0" w:evenHBand="0" w:firstRowFirstColumn="0" w:firstRowLastColumn="0" w:lastRowFirstColumn="0" w:lastRowLastColumn="0"/>
          <w:trHeight w:val="721"/>
        </w:trPr>
        <w:tc>
          <w:tcPr>
            <w:tcW w:w="323" w:type="pct"/>
            <w:vAlign w:val="center"/>
          </w:tcPr>
          <w:p w:rsidR="00560C66" w:rsidRPr="00592FE6" w:rsidRDefault="00560C66" w:rsidP="00673E59">
            <w:pPr>
              <w:autoSpaceDE w:val="0"/>
              <w:autoSpaceDN w:val="0"/>
              <w:adjustRightInd w:val="0"/>
              <w:jc w:val="center"/>
              <w:rPr>
                <w:rFonts w:cs="Arial"/>
                <w:bCs w:val="0"/>
                <w:color w:val="FFFFFF"/>
              </w:rPr>
            </w:pPr>
            <w:r w:rsidRPr="00592FE6">
              <w:rPr>
                <w:rFonts w:cs="Arial"/>
                <w:bCs w:val="0"/>
                <w:color w:val="FFFFFF"/>
              </w:rPr>
              <w:t>No.</w:t>
            </w:r>
          </w:p>
        </w:tc>
        <w:tc>
          <w:tcPr>
            <w:tcW w:w="3064" w:type="pct"/>
            <w:vAlign w:val="center"/>
          </w:tcPr>
          <w:p w:rsidR="00560C66" w:rsidRPr="00592FE6" w:rsidRDefault="00560C66" w:rsidP="00673E59">
            <w:pPr>
              <w:autoSpaceDE w:val="0"/>
              <w:autoSpaceDN w:val="0"/>
              <w:adjustRightInd w:val="0"/>
              <w:jc w:val="center"/>
              <w:rPr>
                <w:rFonts w:cs="Arial"/>
                <w:bCs w:val="0"/>
                <w:color w:val="FFFFFF"/>
              </w:rPr>
            </w:pPr>
            <w:r w:rsidRPr="00592FE6">
              <w:rPr>
                <w:rFonts w:cs="Arial"/>
                <w:bCs w:val="0"/>
                <w:color w:val="FFFFFF"/>
              </w:rPr>
              <w:t>Indicators for measurement at the global level</w:t>
            </w:r>
          </w:p>
        </w:tc>
        <w:tc>
          <w:tcPr>
            <w:tcW w:w="658" w:type="pct"/>
          </w:tcPr>
          <w:p w:rsidR="00560C66" w:rsidRPr="00592FE6" w:rsidRDefault="00560C66" w:rsidP="00560C66">
            <w:pPr>
              <w:autoSpaceDE w:val="0"/>
              <w:autoSpaceDN w:val="0"/>
              <w:adjustRightInd w:val="0"/>
              <w:jc w:val="center"/>
              <w:rPr>
                <w:rFonts w:cs="Arial"/>
                <w:color w:val="FFFFFF"/>
              </w:rPr>
            </w:pPr>
            <w:r>
              <w:rPr>
                <w:rFonts w:cs="Arial"/>
                <w:color w:val="FFFFFF"/>
              </w:rPr>
              <w:t>Health data Required</w:t>
            </w:r>
            <w:r w:rsidR="00A71372">
              <w:rPr>
                <w:rFonts w:cs="Arial"/>
                <w:color w:val="FFFFFF"/>
              </w:rPr>
              <w:t xml:space="preserve"> from </w:t>
            </w:r>
            <w:proofErr w:type="spellStart"/>
            <w:r w:rsidR="00A71372">
              <w:rPr>
                <w:rFonts w:cs="Arial"/>
                <w:color w:val="FFFFFF"/>
              </w:rPr>
              <w:t>MoH</w:t>
            </w:r>
            <w:proofErr w:type="spellEnd"/>
          </w:p>
        </w:tc>
        <w:tc>
          <w:tcPr>
            <w:tcW w:w="956" w:type="pct"/>
            <w:vAlign w:val="center"/>
          </w:tcPr>
          <w:p w:rsidR="00560C66" w:rsidRPr="00592FE6" w:rsidRDefault="00560C66" w:rsidP="00980FB1">
            <w:pPr>
              <w:autoSpaceDE w:val="0"/>
              <w:autoSpaceDN w:val="0"/>
              <w:adjustRightInd w:val="0"/>
              <w:jc w:val="center"/>
              <w:rPr>
                <w:rFonts w:cs="Arial"/>
                <w:bCs w:val="0"/>
                <w:color w:val="FFFFFF"/>
              </w:rPr>
            </w:pPr>
            <w:r w:rsidRPr="00592FE6">
              <w:rPr>
                <w:rFonts w:cs="Arial"/>
                <w:bCs w:val="0"/>
                <w:color w:val="FFFFFF"/>
              </w:rPr>
              <w:t xml:space="preserve">Link to </w:t>
            </w:r>
            <w:r w:rsidR="00980FB1">
              <w:rPr>
                <w:rFonts w:cs="Arial"/>
                <w:bCs w:val="0"/>
                <w:color w:val="FFFFFF"/>
              </w:rPr>
              <w:t>SDG</w:t>
            </w:r>
            <w:r w:rsidRPr="00592FE6">
              <w:rPr>
                <w:rFonts w:cs="Arial"/>
                <w:bCs w:val="0"/>
                <w:color w:val="FFFFFF"/>
              </w:rPr>
              <w:t xml:space="preserve"> indicators</w:t>
            </w:r>
          </w:p>
        </w:tc>
      </w:tr>
      <w:tr w:rsidR="00560C66" w:rsidRPr="00592FE6" w:rsidTr="00A71372">
        <w:trPr>
          <w:trHeight w:val="721"/>
        </w:trPr>
        <w:tc>
          <w:tcPr>
            <w:tcW w:w="323" w:type="pct"/>
          </w:tcPr>
          <w:p w:rsidR="00560C66" w:rsidRPr="00592FE6" w:rsidRDefault="00560C66" w:rsidP="00673E59">
            <w:pPr>
              <w:autoSpaceDE w:val="0"/>
              <w:autoSpaceDN w:val="0"/>
              <w:adjustRightInd w:val="0"/>
              <w:rPr>
                <w:rFonts w:cs="Arial"/>
                <w:b/>
                <w:color w:val="000000"/>
              </w:rPr>
            </w:pPr>
            <w:r w:rsidRPr="00592FE6">
              <w:rPr>
                <w:rFonts w:cs="Arial"/>
                <w:b/>
                <w:color w:val="000000"/>
              </w:rPr>
              <w:t>F-1</w:t>
            </w:r>
          </w:p>
        </w:tc>
        <w:tc>
          <w:tcPr>
            <w:tcW w:w="3064" w:type="pct"/>
          </w:tcPr>
          <w:p w:rsidR="00560C66" w:rsidRPr="00592FE6" w:rsidRDefault="00560C66" w:rsidP="00673E59">
            <w:pPr>
              <w:autoSpaceDE w:val="0"/>
              <w:autoSpaceDN w:val="0"/>
              <w:adjustRightInd w:val="0"/>
              <w:rPr>
                <w:rFonts w:cs="Arial"/>
                <w:color w:val="000000"/>
              </w:rPr>
            </w:pPr>
            <w:r w:rsidRPr="00592FE6">
              <w:rPr>
                <w:rFonts w:cs="Arial"/>
                <w:color w:val="000000"/>
              </w:rPr>
              <w:t>Total official international support (official development assistance (ODA) plus other flows), for national disaster risk reduction actions</w:t>
            </w:r>
          </w:p>
        </w:tc>
        <w:tc>
          <w:tcPr>
            <w:tcW w:w="658" w:type="pct"/>
          </w:tcPr>
          <w:p w:rsidR="00560C66" w:rsidRPr="00592FE6" w:rsidRDefault="00560C66" w:rsidP="00673E59">
            <w:pPr>
              <w:autoSpaceDE w:val="0"/>
              <w:autoSpaceDN w:val="0"/>
              <w:adjustRightInd w:val="0"/>
              <w:rPr>
                <w:rFonts w:cs="Arial"/>
                <w:color w:val="000000"/>
              </w:rPr>
            </w:pPr>
            <w:r>
              <w:rPr>
                <w:rFonts w:cs="Arial"/>
                <w:color w:val="000000"/>
              </w:rPr>
              <w:t>Yes</w:t>
            </w:r>
          </w:p>
        </w:tc>
        <w:tc>
          <w:tcPr>
            <w:tcW w:w="956" w:type="pct"/>
          </w:tcPr>
          <w:p w:rsidR="00560C66" w:rsidRPr="00592FE6" w:rsidRDefault="00560C66" w:rsidP="00673E59">
            <w:pPr>
              <w:autoSpaceDE w:val="0"/>
              <w:autoSpaceDN w:val="0"/>
              <w:adjustRightInd w:val="0"/>
              <w:rPr>
                <w:rFonts w:cs="Arial"/>
                <w:color w:val="000000"/>
              </w:rPr>
            </w:pPr>
          </w:p>
        </w:tc>
      </w:tr>
      <w:tr w:rsidR="00560C66" w:rsidRPr="00592FE6" w:rsidTr="00A71372">
        <w:trPr>
          <w:trHeight w:val="721"/>
        </w:trPr>
        <w:tc>
          <w:tcPr>
            <w:tcW w:w="323" w:type="pct"/>
          </w:tcPr>
          <w:p w:rsidR="00560C66" w:rsidRPr="00592FE6" w:rsidRDefault="00560C66" w:rsidP="00673E59">
            <w:pPr>
              <w:autoSpaceDE w:val="0"/>
              <w:autoSpaceDN w:val="0"/>
              <w:adjustRightInd w:val="0"/>
              <w:rPr>
                <w:rFonts w:cs="Arial"/>
                <w:b/>
                <w:bCs/>
                <w:color w:val="000000"/>
              </w:rPr>
            </w:pPr>
            <w:r w:rsidRPr="00592FE6">
              <w:rPr>
                <w:rFonts w:cs="Arial"/>
                <w:b/>
                <w:bCs/>
                <w:color w:val="000000"/>
              </w:rPr>
              <w:t>F-2</w:t>
            </w:r>
          </w:p>
        </w:tc>
        <w:tc>
          <w:tcPr>
            <w:tcW w:w="3064" w:type="pct"/>
          </w:tcPr>
          <w:p w:rsidR="00560C66" w:rsidRPr="00592FE6" w:rsidRDefault="00560C66" w:rsidP="00673E59">
            <w:pPr>
              <w:autoSpaceDE w:val="0"/>
              <w:autoSpaceDN w:val="0"/>
              <w:adjustRightInd w:val="0"/>
              <w:rPr>
                <w:rFonts w:cs="Arial"/>
                <w:bCs/>
                <w:color w:val="000000"/>
              </w:rPr>
            </w:pPr>
            <w:r w:rsidRPr="00592FE6">
              <w:rPr>
                <w:rFonts w:cs="Arial"/>
                <w:bCs/>
                <w:color w:val="000000"/>
              </w:rPr>
              <w:t>Total official international support (ODA plus other official flows) for national disaster risk reduction provided by multilateral agencies</w:t>
            </w:r>
          </w:p>
        </w:tc>
        <w:tc>
          <w:tcPr>
            <w:tcW w:w="658" w:type="pct"/>
          </w:tcPr>
          <w:p w:rsidR="00560C66" w:rsidRPr="00592FE6" w:rsidRDefault="00560C66" w:rsidP="00673E59">
            <w:pPr>
              <w:autoSpaceDE w:val="0"/>
              <w:autoSpaceDN w:val="0"/>
              <w:adjustRightInd w:val="0"/>
              <w:rPr>
                <w:rFonts w:cs="Arial"/>
                <w:bCs/>
                <w:color w:val="000000"/>
              </w:rPr>
            </w:pPr>
            <w:r>
              <w:rPr>
                <w:rFonts w:cs="Arial"/>
                <w:bCs/>
                <w:color w:val="000000"/>
              </w:rPr>
              <w:t>Yes</w:t>
            </w:r>
          </w:p>
        </w:tc>
        <w:tc>
          <w:tcPr>
            <w:tcW w:w="956" w:type="pct"/>
          </w:tcPr>
          <w:p w:rsidR="00560C66" w:rsidRPr="00592FE6" w:rsidRDefault="00560C66" w:rsidP="00673E59">
            <w:pPr>
              <w:autoSpaceDE w:val="0"/>
              <w:autoSpaceDN w:val="0"/>
              <w:adjustRightInd w:val="0"/>
              <w:rPr>
                <w:rFonts w:cs="Arial"/>
                <w:bCs/>
                <w:color w:val="000000"/>
              </w:rPr>
            </w:pPr>
          </w:p>
        </w:tc>
      </w:tr>
      <w:tr w:rsidR="00560C66" w:rsidRPr="00592FE6" w:rsidTr="00A71372">
        <w:trPr>
          <w:trHeight w:val="721"/>
        </w:trPr>
        <w:tc>
          <w:tcPr>
            <w:tcW w:w="323" w:type="pct"/>
          </w:tcPr>
          <w:p w:rsidR="00560C66" w:rsidRPr="00592FE6" w:rsidRDefault="00560C66" w:rsidP="00673E59">
            <w:pPr>
              <w:autoSpaceDE w:val="0"/>
              <w:autoSpaceDN w:val="0"/>
              <w:adjustRightInd w:val="0"/>
              <w:rPr>
                <w:rFonts w:cs="Arial"/>
                <w:b/>
                <w:bCs/>
                <w:color w:val="000000"/>
              </w:rPr>
            </w:pPr>
            <w:r w:rsidRPr="00592FE6">
              <w:rPr>
                <w:rFonts w:cs="Arial"/>
                <w:b/>
                <w:bCs/>
                <w:color w:val="000000"/>
              </w:rPr>
              <w:t>F-3</w:t>
            </w:r>
          </w:p>
        </w:tc>
        <w:tc>
          <w:tcPr>
            <w:tcW w:w="3064" w:type="pct"/>
          </w:tcPr>
          <w:p w:rsidR="00560C66" w:rsidRPr="00592FE6" w:rsidRDefault="00560C66" w:rsidP="00673E59">
            <w:pPr>
              <w:autoSpaceDE w:val="0"/>
              <w:autoSpaceDN w:val="0"/>
              <w:adjustRightInd w:val="0"/>
              <w:rPr>
                <w:rFonts w:cs="Arial"/>
                <w:bCs/>
                <w:color w:val="000000"/>
              </w:rPr>
            </w:pPr>
            <w:r w:rsidRPr="00592FE6">
              <w:rPr>
                <w:rFonts w:cs="Arial"/>
                <w:bCs/>
                <w:color w:val="000000"/>
              </w:rPr>
              <w:t>Total official international support (ODA plus other official flows) for national disaster risk reduction actions provided bilaterally</w:t>
            </w:r>
          </w:p>
        </w:tc>
        <w:tc>
          <w:tcPr>
            <w:tcW w:w="658" w:type="pct"/>
          </w:tcPr>
          <w:p w:rsidR="00560C66" w:rsidRDefault="00560C66" w:rsidP="00673E59">
            <w:pPr>
              <w:autoSpaceDE w:val="0"/>
              <w:autoSpaceDN w:val="0"/>
              <w:adjustRightInd w:val="0"/>
              <w:rPr>
                <w:rFonts w:cs="Arial"/>
                <w:bCs/>
                <w:color w:val="000000"/>
              </w:rPr>
            </w:pPr>
            <w:r>
              <w:rPr>
                <w:rFonts w:cs="Arial"/>
                <w:bCs/>
                <w:color w:val="000000"/>
              </w:rPr>
              <w:t>Yes</w:t>
            </w:r>
          </w:p>
        </w:tc>
        <w:tc>
          <w:tcPr>
            <w:tcW w:w="956" w:type="pct"/>
          </w:tcPr>
          <w:p w:rsidR="00560C66" w:rsidRPr="00592FE6" w:rsidRDefault="00560C66" w:rsidP="00673E59">
            <w:pPr>
              <w:autoSpaceDE w:val="0"/>
              <w:autoSpaceDN w:val="0"/>
              <w:adjustRightInd w:val="0"/>
              <w:rPr>
                <w:rFonts w:cs="Arial"/>
                <w:bCs/>
                <w:color w:val="000000"/>
              </w:rPr>
            </w:pPr>
            <w:r>
              <w:rPr>
                <w:rFonts w:cs="Arial"/>
                <w:bCs/>
                <w:color w:val="000000"/>
              </w:rPr>
              <w:t>17.2, 17.3</w:t>
            </w:r>
          </w:p>
        </w:tc>
      </w:tr>
      <w:tr w:rsidR="00560C66" w:rsidRPr="00592FE6" w:rsidTr="00A71372">
        <w:trPr>
          <w:trHeight w:val="721"/>
        </w:trPr>
        <w:tc>
          <w:tcPr>
            <w:tcW w:w="323" w:type="pct"/>
          </w:tcPr>
          <w:p w:rsidR="00560C66" w:rsidRPr="00592FE6" w:rsidRDefault="00560C66" w:rsidP="00673E59">
            <w:pPr>
              <w:autoSpaceDE w:val="0"/>
              <w:autoSpaceDN w:val="0"/>
              <w:adjustRightInd w:val="0"/>
              <w:rPr>
                <w:rFonts w:cs="Arial"/>
                <w:b/>
                <w:bCs/>
                <w:color w:val="000000"/>
              </w:rPr>
            </w:pPr>
            <w:r w:rsidRPr="00592FE6">
              <w:rPr>
                <w:rFonts w:cs="Arial"/>
                <w:b/>
                <w:bCs/>
                <w:color w:val="000000"/>
              </w:rPr>
              <w:t>F-4</w:t>
            </w:r>
          </w:p>
        </w:tc>
        <w:tc>
          <w:tcPr>
            <w:tcW w:w="3064" w:type="pct"/>
          </w:tcPr>
          <w:p w:rsidR="00560C66" w:rsidRPr="00592FE6" w:rsidRDefault="00560C66" w:rsidP="00411A1B">
            <w:pPr>
              <w:autoSpaceDE w:val="0"/>
              <w:autoSpaceDN w:val="0"/>
              <w:adjustRightInd w:val="0"/>
              <w:rPr>
                <w:rFonts w:cs="Arial"/>
                <w:bCs/>
                <w:color w:val="000000"/>
              </w:rPr>
            </w:pPr>
            <w:r w:rsidRPr="00592FE6">
              <w:rPr>
                <w:rFonts w:cs="Arial"/>
                <w:bCs/>
                <w:color w:val="000000"/>
              </w:rPr>
              <w:t>Total official international support (ODA plus other official flows) for the transfer and exchange of disaster risk reduction technology</w:t>
            </w:r>
          </w:p>
        </w:tc>
        <w:tc>
          <w:tcPr>
            <w:tcW w:w="658" w:type="pct"/>
          </w:tcPr>
          <w:p w:rsidR="00560C66" w:rsidRDefault="00560C66" w:rsidP="00673E59">
            <w:pPr>
              <w:autoSpaceDE w:val="0"/>
              <w:autoSpaceDN w:val="0"/>
              <w:adjustRightInd w:val="0"/>
              <w:rPr>
                <w:rFonts w:cs="Arial"/>
                <w:bCs/>
                <w:color w:val="000000"/>
              </w:rPr>
            </w:pPr>
            <w:r>
              <w:rPr>
                <w:rFonts w:cs="Arial"/>
                <w:bCs/>
                <w:color w:val="000000"/>
              </w:rPr>
              <w:t>Yes</w:t>
            </w:r>
          </w:p>
        </w:tc>
        <w:tc>
          <w:tcPr>
            <w:tcW w:w="956" w:type="pct"/>
          </w:tcPr>
          <w:p w:rsidR="00560C66" w:rsidRPr="00592FE6" w:rsidRDefault="00560C66" w:rsidP="00673E59">
            <w:pPr>
              <w:autoSpaceDE w:val="0"/>
              <w:autoSpaceDN w:val="0"/>
              <w:adjustRightInd w:val="0"/>
              <w:rPr>
                <w:rFonts w:cs="Arial"/>
                <w:bCs/>
                <w:color w:val="000000"/>
              </w:rPr>
            </w:pPr>
            <w:r>
              <w:rPr>
                <w:rFonts w:cs="Arial"/>
                <w:bCs/>
                <w:color w:val="000000"/>
              </w:rPr>
              <w:t>17.7</w:t>
            </w:r>
          </w:p>
        </w:tc>
      </w:tr>
      <w:tr w:rsidR="00560C66" w:rsidRPr="00592FE6" w:rsidTr="00A71372">
        <w:trPr>
          <w:trHeight w:val="721"/>
        </w:trPr>
        <w:tc>
          <w:tcPr>
            <w:tcW w:w="323" w:type="pct"/>
          </w:tcPr>
          <w:p w:rsidR="00560C66" w:rsidRPr="00592FE6" w:rsidRDefault="00560C66" w:rsidP="00673E59">
            <w:pPr>
              <w:autoSpaceDE w:val="0"/>
              <w:autoSpaceDN w:val="0"/>
              <w:adjustRightInd w:val="0"/>
              <w:rPr>
                <w:rFonts w:cs="Arial"/>
                <w:b/>
                <w:bCs/>
                <w:color w:val="000000"/>
              </w:rPr>
            </w:pPr>
            <w:r w:rsidRPr="00592FE6">
              <w:rPr>
                <w:rFonts w:cs="Arial"/>
                <w:b/>
                <w:bCs/>
                <w:color w:val="000000"/>
              </w:rPr>
              <w:t>F-5</w:t>
            </w:r>
          </w:p>
        </w:tc>
        <w:tc>
          <w:tcPr>
            <w:tcW w:w="3064" w:type="pct"/>
          </w:tcPr>
          <w:p w:rsidR="00560C66" w:rsidRPr="00592FE6" w:rsidRDefault="00560C66" w:rsidP="00673E59">
            <w:pPr>
              <w:autoSpaceDE w:val="0"/>
              <w:autoSpaceDN w:val="0"/>
              <w:adjustRightInd w:val="0"/>
              <w:rPr>
                <w:rFonts w:cs="Arial"/>
                <w:bCs/>
                <w:color w:val="000000"/>
              </w:rPr>
            </w:pPr>
            <w:r w:rsidRPr="00592FE6">
              <w:rPr>
                <w:rFonts w:cs="Arial"/>
                <w:bCs/>
                <w:color w:val="000000"/>
              </w:rPr>
              <w:t>Number of international, regional and bilateral programmes and initiatives for the transfer and exchange of science, technology and innovation in disaster risk reduction for developing countries</w:t>
            </w:r>
          </w:p>
        </w:tc>
        <w:tc>
          <w:tcPr>
            <w:tcW w:w="658" w:type="pct"/>
          </w:tcPr>
          <w:p w:rsidR="00560C66" w:rsidRDefault="00560C66" w:rsidP="00673E59">
            <w:pPr>
              <w:autoSpaceDE w:val="0"/>
              <w:autoSpaceDN w:val="0"/>
              <w:adjustRightInd w:val="0"/>
              <w:rPr>
                <w:rFonts w:cs="Arial"/>
                <w:bCs/>
                <w:color w:val="000000"/>
              </w:rPr>
            </w:pPr>
            <w:r w:rsidRPr="00560C66">
              <w:rPr>
                <w:rFonts w:cs="Arial"/>
                <w:bCs/>
                <w:color w:val="000000"/>
              </w:rPr>
              <w:t>Yes</w:t>
            </w:r>
          </w:p>
        </w:tc>
        <w:tc>
          <w:tcPr>
            <w:tcW w:w="956" w:type="pct"/>
          </w:tcPr>
          <w:p w:rsidR="00560C66" w:rsidRPr="00592FE6" w:rsidRDefault="00560C66" w:rsidP="00673E59">
            <w:pPr>
              <w:autoSpaceDE w:val="0"/>
              <w:autoSpaceDN w:val="0"/>
              <w:adjustRightInd w:val="0"/>
              <w:rPr>
                <w:rFonts w:cs="Arial"/>
                <w:bCs/>
                <w:color w:val="000000"/>
              </w:rPr>
            </w:pPr>
            <w:r>
              <w:rPr>
                <w:rFonts w:cs="Arial"/>
                <w:bCs/>
                <w:color w:val="000000"/>
              </w:rPr>
              <w:t>17.6</w:t>
            </w:r>
          </w:p>
        </w:tc>
      </w:tr>
      <w:tr w:rsidR="00560C66" w:rsidRPr="00592FE6" w:rsidTr="00A71372">
        <w:trPr>
          <w:trHeight w:val="721"/>
        </w:trPr>
        <w:tc>
          <w:tcPr>
            <w:tcW w:w="323" w:type="pct"/>
          </w:tcPr>
          <w:p w:rsidR="00560C66" w:rsidRPr="00592FE6" w:rsidRDefault="00560C66" w:rsidP="00673E59">
            <w:pPr>
              <w:autoSpaceDE w:val="0"/>
              <w:autoSpaceDN w:val="0"/>
              <w:adjustRightInd w:val="0"/>
              <w:rPr>
                <w:rFonts w:cs="Arial"/>
                <w:b/>
                <w:bCs/>
                <w:color w:val="000000"/>
              </w:rPr>
            </w:pPr>
            <w:r w:rsidRPr="00592FE6">
              <w:rPr>
                <w:rFonts w:cs="Arial"/>
                <w:b/>
                <w:bCs/>
                <w:color w:val="000000"/>
              </w:rPr>
              <w:t>F-6</w:t>
            </w:r>
          </w:p>
        </w:tc>
        <w:tc>
          <w:tcPr>
            <w:tcW w:w="3064" w:type="pct"/>
          </w:tcPr>
          <w:p w:rsidR="00560C66" w:rsidRPr="00592FE6" w:rsidRDefault="00560C66" w:rsidP="00673E59">
            <w:pPr>
              <w:autoSpaceDE w:val="0"/>
              <w:autoSpaceDN w:val="0"/>
              <w:adjustRightInd w:val="0"/>
              <w:rPr>
                <w:rFonts w:cs="Arial"/>
                <w:bCs/>
                <w:color w:val="000000"/>
              </w:rPr>
            </w:pPr>
            <w:r w:rsidRPr="00592FE6">
              <w:rPr>
                <w:rFonts w:cs="Arial"/>
                <w:bCs/>
                <w:color w:val="000000"/>
              </w:rPr>
              <w:t>Total official international support (ODA plus other official flows) for disaster risk reduction capacity building</w:t>
            </w:r>
          </w:p>
        </w:tc>
        <w:tc>
          <w:tcPr>
            <w:tcW w:w="658" w:type="pct"/>
          </w:tcPr>
          <w:p w:rsidR="00560C66" w:rsidRDefault="00560C66" w:rsidP="00267BA4">
            <w:pPr>
              <w:autoSpaceDE w:val="0"/>
              <w:autoSpaceDN w:val="0"/>
              <w:adjustRightInd w:val="0"/>
              <w:rPr>
                <w:rFonts w:cs="Arial"/>
                <w:bCs/>
                <w:color w:val="000000"/>
              </w:rPr>
            </w:pPr>
            <w:r>
              <w:rPr>
                <w:rFonts w:cs="Arial"/>
                <w:bCs/>
                <w:color w:val="000000"/>
              </w:rPr>
              <w:t>Yes</w:t>
            </w:r>
          </w:p>
        </w:tc>
        <w:tc>
          <w:tcPr>
            <w:tcW w:w="956" w:type="pct"/>
          </w:tcPr>
          <w:p w:rsidR="00560C66" w:rsidRPr="00592FE6" w:rsidRDefault="00560C66" w:rsidP="00673E59">
            <w:pPr>
              <w:autoSpaceDE w:val="0"/>
              <w:autoSpaceDN w:val="0"/>
              <w:adjustRightInd w:val="0"/>
              <w:rPr>
                <w:rFonts w:cs="Arial"/>
                <w:bCs/>
                <w:color w:val="000000"/>
              </w:rPr>
            </w:pPr>
            <w:r>
              <w:rPr>
                <w:rFonts w:cs="Arial"/>
                <w:bCs/>
                <w:color w:val="000000"/>
              </w:rPr>
              <w:t>17.9</w:t>
            </w:r>
          </w:p>
        </w:tc>
      </w:tr>
      <w:tr w:rsidR="00560C66" w:rsidRPr="00592FE6" w:rsidTr="00A71372">
        <w:trPr>
          <w:trHeight w:val="721"/>
        </w:trPr>
        <w:tc>
          <w:tcPr>
            <w:tcW w:w="323" w:type="pct"/>
          </w:tcPr>
          <w:p w:rsidR="00560C66" w:rsidRPr="00592FE6" w:rsidRDefault="00560C66" w:rsidP="00673E59">
            <w:pPr>
              <w:autoSpaceDE w:val="0"/>
              <w:autoSpaceDN w:val="0"/>
              <w:adjustRightInd w:val="0"/>
              <w:rPr>
                <w:rFonts w:cs="Arial"/>
                <w:b/>
                <w:bCs/>
                <w:color w:val="000000"/>
              </w:rPr>
            </w:pPr>
            <w:r w:rsidRPr="00592FE6">
              <w:rPr>
                <w:rFonts w:cs="Arial"/>
                <w:b/>
                <w:bCs/>
                <w:color w:val="000000"/>
              </w:rPr>
              <w:t>F-7</w:t>
            </w:r>
          </w:p>
        </w:tc>
        <w:tc>
          <w:tcPr>
            <w:tcW w:w="3064" w:type="pct"/>
          </w:tcPr>
          <w:p w:rsidR="00560C66" w:rsidRPr="00592FE6" w:rsidRDefault="00560C66" w:rsidP="00673E59">
            <w:pPr>
              <w:autoSpaceDE w:val="0"/>
              <w:autoSpaceDN w:val="0"/>
              <w:adjustRightInd w:val="0"/>
              <w:rPr>
                <w:rFonts w:cs="Arial"/>
                <w:bCs/>
                <w:color w:val="000000"/>
              </w:rPr>
            </w:pPr>
            <w:r w:rsidRPr="00592FE6">
              <w:rPr>
                <w:rFonts w:cs="Arial"/>
                <w:bCs/>
                <w:color w:val="000000"/>
              </w:rPr>
              <w:t>Number of international, regional and bilateral programme and initiatives for disaster risk reduction-related capacity-building in developing countries</w:t>
            </w:r>
          </w:p>
        </w:tc>
        <w:tc>
          <w:tcPr>
            <w:tcW w:w="658" w:type="pct"/>
          </w:tcPr>
          <w:p w:rsidR="00560C66" w:rsidRDefault="00560C66" w:rsidP="00267BA4">
            <w:pPr>
              <w:autoSpaceDE w:val="0"/>
              <w:autoSpaceDN w:val="0"/>
              <w:adjustRightInd w:val="0"/>
              <w:rPr>
                <w:rFonts w:cs="Arial"/>
                <w:bCs/>
                <w:color w:val="000000"/>
              </w:rPr>
            </w:pPr>
            <w:r>
              <w:rPr>
                <w:rFonts w:cs="Arial"/>
                <w:bCs/>
                <w:color w:val="000000"/>
              </w:rPr>
              <w:t>Yes</w:t>
            </w:r>
          </w:p>
        </w:tc>
        <w:tc>
          <w:tcPr>
            <w:tcW w:w="956" w:type="pct"/>
          </w:tcPr>
          <w:p w:rsidR="00560C66" w:rsidRPr="00592FE6" w:rsidRDefault="00560C66" w:rsidP="00673E59">
            <w:pPr>
              <w:autoSpaceDE w:val="0"/>
              <w:autoSpaceDN w:val="0"/>
              <w:adjustRightInd w:val="0"/>
              <w:rPr>
                <w:rFonts w:cs="Arial"/>
                <w:bCs/>
                <w:color w:val="000000"/>
              </w:rPr>
            </w:pPr>
          </w:p>
        </w:tc>
      </w:tr>
      <w:tr w:rsidR="00560C66" w:rsidRPr="00592FE6" w:rsidTr="00A71372">
        <w:trPr>
          <w:trHeight w:val="721"/>
        </w:trPr>
        <w:tc>
          <w:tcPr>
            <w:tcW w:w="323" w:type="pct"/>
          </w:tcPr>
          <w:p w:rsidR="00560C66" w:rsidRPr="00592FE6" w:rsidRDefault="00560C66" w:rsidP="00673E59">
            <w:pPr>
              <w:autoSpaceDE w:val="0"/>
              <w:autoSpaceDN w:val="0"/>
              <w:adjustRightInd w:val="0"/>
              <w:rPr>
                <w:rFonts w:cs="Arial"/>
                <w:b/>
                <w:bCs/>
                <w:color w:val="000000"/>
              </w:rPr>
            </w:pPr>
            <w:r w:rsidRPr="00592FE6">
              <w:rPr>
                <w:rFonts w:cs="Arial"/>
                <w:b/>
                <w:bCs/>
                <w:color w:val="000000"/>
              </w:rPr>
              <w:t>F-8</w:t>
            </w:r>
          </w:p>
        </w:tc>
        <w:tc>
          <w:tcPr>
            <w:tcW w:w="3064" w:type="pct"/>
          </w:tcPr>
          <w:p w:rsidR="00560C66" w:rsidRPr="00592FE6" w:rsidRDefault="00560C66" w:rsidP="00673E59">
            <w:pPr>
              <w:autoSpaceDE w:val="0"/>
              <w:autoSpaceDN w:val="0"/>
              <w:adjustRightInd w:val="0"/>
              <w:rPr>
                <w:rFonts w:cs="Arial"/>
                <w:bCs/>
                <w:color w:val="000000"/>
              </w:rPr>
            </w:pPr>
            <w:r w:rsidRPr="00592FE6">
              <w:rPr>
                <w:rFonts w:cs="Arial"/>
                <w:bCs/>
                <w:color w:val="000000"/>
              </w:rPr>
              <w:t>Number of developing countries supported by international, regional and bilateral initiatives to strengthen their disaster risk reduction-related statistical capacity</w:t>
            </w:r>
          </w:p>
        </w:tc>
        <w:tc>
          <w:tcPr>
            <w:tcW w:w="658" w:type="pct"/>
          </w:tcPr>
          <w:p w:rsidR="00560C66" w:rsidRDefault="00560C66" w:rsidP="00267BA4">
            <w:pPr>
              <w:autoSpaceDE w:val="0"/>
              <w:autoSpaceDN w:val="0"/>
              <w:adjustRightInd w:val="0"/>
              <w:rPr>
                <w:rFonts w:cs="Arial"/>
                <w:bCs/>
                <w:color w:val="000000"/>
              </w:rPr>
            </w:pPr>
            <w:r>
              <w:rPr>
                <w:rFonts w:cs="Arial"/>
                <w:bCs/>
                <w:color w:val="000000"/>
              </w:rPr>
              <w:t>Yes</w:t>
            </w:r>
          </w:p>
        </w:tc>
        <w:tc>
          <w:tcPr>
            <w:tcW w:w="956" w:type="pct"/>
          </w:tcPr>
          <w:p w:rsidR="00560C66" w:rsidRPr="00592FE6" w:rsidRDefault="00560C66" w:rsidP="00673E59">
            <w:pPr>
              <w:autoSpaceDE w:val="0"/>
              <w:autoSpaceDN w:val="0"/>
              <w:adjustRightInd w:val="0"/>
              <w:rPr>
                <w:rFonts w:cs="Arial"/>
                <w:bCs/>
                <w:color w:val="000000"/>
              </w:rPr>
            </w:pPr>
            <w:r>
              <w:rPr>
                <w:rFonts w:cs="Arial"/>
                <w:bCs/>
                <w:color w:val="000000"/>
              </w:rPr>
              <w:t>17.19</w:t>
            </w:r>
          </w:p>
        </w:tc>
      </w:tr>
    </w:tbl>
    <w:p w:rsidR="001335E7" w:rsidRDefault="001335E7" w:rsidP="001335E7">
      <w:pPr>
        <w:pStyle w:val="ListParagraph"/>
        <w:spacing w:after="0" w:line="360" w:lineRule="auto"/>
        <w:ind w:left="426"/>
        <w:rPr>
          <w:b/>
        </w:rPr>
      </w:pPr>
    </w:p>
    <w:p w:rsidR="009706AD" w:rsidRDefault="009706AD" w:rsidP="001335E7">
      <w:pPr>
        <w:pStyle w:val="ListParagraph"/>
        <w:spacing w:after="0" w:line="360" w:lineRule="auto"/>
        <w:ind w:left="426"/>
        <w:rPr>
          <w:b/>
        </w:rPr>
      </w:pPr>
    </w:p>
    <w:p w:rsidR="009706AD" w:rsidRDefault="009706AD" w:rsidP="001335E7">
      <w:pPr>
        <w:pStyle w:val="ListParagraph"/>
        <w:spacing w:after="0" w:line="360" w:lineRule="auto"/>
        <w:ind w:left="426"/>
        <w:rPr>
          <w:b/>
        </w:rPr>
      </w:pPr>
    </w:p>
    <w:p w:rsidR="00375E2D" w:rsidRDefault="001335E7" w:rsidP="00E70D5D">
      <w:pPr>
        <w:pStyle w:val="ListParagraph"/>
        <w:numPr>
          <w:ilvl w:val="0"/>
          <w:numId w:val="1"/>
        </w:numPr>
        <w:spacing w:after="0" w:line="360" w:lineRule="auto"/>
        <w:ind w:left="426"/>
        <w:rPr>
          <w:b/>
        </w:rPr>
      </w:pPr>
      <w:r>
        <w:rPr>
          <w:b/>
        </w:rPr>
        <w:lastRenderedPageBreak/>
        <w:t>Policy context</w:t>
      </w:r>
    </w:p>
    <w:tbl>
      <w:tblPr>
        <w:tblStyle w:val="MediumGrid3-Accent1"/>
        <w:tblW w:w="5008" w:type="pct"/>
        <w:tblLook w:val="0680" w:firstRow="0" w:lastRow="0" w:firstColumn="1" w:lastColumn="0" w:noHBand="1" w:noVBand="1"/>
      </w:tblPr>
      <w:tblGrid>
        <w:gridCol w:w="2453"/>
        <w:gridCol w:w="6804"/>
      </w:tblGrid>
      <w:tr w:rsidR="008B171B" w:rsidRPr="006F33FC" w:rsidTr="001335E7">
        <w:trPr>
          <w:trHeight w:val="886"/>
        </w:trPr>
        <w:tc>
          <w:tcPr>
            <w:cnfStyle w:val="001000000000" w:firstRow="0" w:lastRow="0" w:firstColumn="1" w:lastColumn="0" w:oddVBand="0" w:evenVBand="0" w:oddHBand="0" w:evenHBand="0" w:firstRowFirstColumn="0" w:firstRowLastColumn="0" w:lastRowFirstColumn="0" w:lastRowLastColumn="0"/>
            <w:tcW w:w="1325" w:type="pct"/>
            <w:vAlign w:val="center"/>
          </w:tcPr>
          <w:p w:rsidR="008B171B" w:rsidRDefault="008B171B" w:rsidP="00673E59">
            <w:pPr>
              <w:rPr>
                <w:sz w:val="20"/>
              </w:rPr>
            </w:pPr>
            <w:r>
              <w:rPr>
                <w:sz w:val="20"/>
              </w:rPr>
              <w:t>Why important</w:t>
            </w:r>
          </w:p>
        </w:tc>
        <w:tc>
          <w:tcPr>
            <w:tcW w:w="3675" w:type="pct"/>
            <w:vAlign w:val="center"/>
          </w:tcPr>
          <w:p w:rsidR="008B171B" w:rsidRDefault="002540D9" w:rsidP="00D60A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rPr>
            </w:pPr>
            <w:r w:rsidRPr="002540D9">
              <w:rPr>
                <w:rFonts w:cs="Arial"/>
                <w:bCs/>
              </w:rPr>
              <w:t>Target F seeks to enhance international cooperation to developing countries</w:t>
            </w:r>
            <w:r>
              <w:rPr>
                <w:rFonts w:cs="Arial"/>
                <w:bCs/>
              </w:rPr>
              <w:t xml:space="preserve">.  It focuses on financial resources, technology development and transfer, and capacity building.  Ministries of Health are asked to ensure that all international support is included in the reporting against this Target.  </w:t>
            </w:r>
            <w:r w:rsidR="00C961BF">
              <w:rPr>
                <w:rFonts w:cs="Arial"/>
                <w:bCs/>
              </w:rPr>
              <w:t xml:space="preserve">This Target seeks to develop an integrated approach to risk reduction, and to map the funding to </w:t>
            </w:r>
            <w:r w:rsidR="005A101A">
              <w:rPr>
                <w:rFonts w:cs="Arial"/>
                <w:bCs/>
              </w:rPr>
              <w:t>disaster risk reduc</w:t>
            </w:r>
            <w:r w:rsidR="00980FB1">
              <w:rPr>
                <w:rFonts w:cs="Arial"/>
                <w:bCs/>
              </w:rPr>
              <w:t>ti</w:t>
            </w:r>
            <w:r w:rsidR="005A101A">
              <w:rPr>
                <w:rFonts w:cs="Arial"/>
                <w:bCs/>
              </w:rPr>
              <w:t>on</w:t>
            </w:r>
            <w:r w:rsidR="00C961BF">
              <w:rPr>
                <w:rFonts w:cs="Arial"/>
                <w:bCs/>
              </w:rPr>
              <w:t xml:space="preserve"> programmes that are often delivered either as stand-alone project</w:t>
            </w:r>
            <w:r w:rsidR="00D60A04">
              <w:rPr>
                <w:rFonts w:cs="Arial"/>
                <w:bCs/>
              </w:rPr>
              <w:t xml:space="preserve"> strategies and related programme</w:t>
            </w:r>
            <w:r w:rsidR="00C961BF">
              <w:rPr>
                <w:rFonts w:cs="Arial"/>
                <w:bCs/>
              </w:rPr>
              <w:t xml:space="preserve">s or as part of wider cooperation programmes.  For example development of Integrated Disease Surveillance and Response (IDSR) programmes in countries seek to </w:t>
            </w:r>
            <w:r w:rsidR="00D60A04">
              <w:rPr>
                <w:rFonts w:cs="Arial"/>
                <w:bCs/>
              </w:rPr>
              <w:t xml:space="preserve">establish or strengthen disease </w:t>
            </w:r>
            <w:r w:rsidR="00C961BF">
              <w:rPr>
                <w:rFonts w:cs="Arial"/>
                <w:bCs/>
              </w:rPr>
              <w:t xml:space="preserve">early </w:t>
            </w:r>
            <w:r w:rsidR="00D60A04">
              <w:rPr>
                <w:rFonts w:cs="Arial"/>
                <w:bCs/>
              </w:rPr>
              <w:t>w</w:t>
            </w:r>
            <w:r w:rsidR="00C961BF">
              <w:rPr>
                <w:rFonts w:cs="Arial"/>
                <w:bCs/>
              </w:rPr>
              <w:t xml:space="preserve">arning </w:t>
            </w:r>
            <w:r w:rsidR="00D60A04">
              <w:rPr>
                <w:rFonts w:cs="Arial"/>
                <w:bCs/>
              </w:rPr>
              <w:t>s</w:t>
            </w:r>
            <w:r w:rsidR="00C961BF">
              <w:rPr>
                <w:rFonts w:cs="Arial"/>
                <w:bCs/>
              </w:rPr>
              <w:t>ystems (</w:t>
            </w:r>
            <w:r w:rsidR="00D60A04">
              <w:rPr>
                <w:rFonts w:cs="Arial"/>
                <w:bCs/>
              </w:rPr>
              <w:t>Disease EWARS</w:t>
            </w:r>
            <w:r w:rsidR="00C961BF">
              <w:rPr>
                <w:rFonts w:cs="Arial"/>
                <w:bCs/>
              </w:rPr>
              <w:t>) for Target G but also should be reported against Target F as it seeks to build capacity and develop the technology needs (e.g. laboratories and digital systems reporting).</w:t>
            </w:r>
            <w:r w:rsidR="00D60A04">
              <w:rPr>
                <w:rFonts w:cs="Arial"/>
                <w:bCs/>
              </w:rPr>
              <w:t xml:space="preserve"> </w:t>
            </w:r>
          </w:p>
          <w:p w:rsidR="00C961BF" w:rsidRDefault="00C961BF" w:rsidP="00673E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rPr>
            </w:pPr>
          </w:p>
          <w:p w:rsidR="00C961BF" w:rsidRDefault="00C961BF" w:rsidP="00D60A0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 xml:space="preserve">Ministries of Health work with a range of partners to develop </w:t>
            </w:r>
            <w:r w:rsidR="00D60A04">
              <w:rPr>
                <w:rFonts w:cs="Arial"/>
                <w:bCs/>
              </w:rPr>
              <w:t xml:space="preserve">and implement capacities for health </w:t>
            </w:r>
            <w:proofErr w:type="spellStart"/>
            <w:r w:rsidR="00D60A04">
              <w:rPr>
                <w:rFonts w:cs="Arial"/>
                <w:bCs/>
              </w:rPr>
              <w:t>health</w:t>
            </w:r>
            <w:proofErr w:type="spellEnd"/>
            <w:r w:rsidR="00D60A04">
              <w:rPr>
                <w:rFonts w:cs="Arial"/>
                <w:bCs/>
              </w:rPr>
              <w:t xml:space="preserve"> emergency an disaster risk management, across all levels of care and administration </w:t>
            </w:r>
            <w:r>
              <w:rPr>
                <w:rFonts w:cs="Arial"/>
                <w:bCs/>
              </w:rPr>
              <w:t xml:space="preserve"> for prevention</w:t>
            </w:r>
            <w:r w:rsidR="005A101A">
              <w:rPr>
                <w:rFonts w:cs="Arial"/>
                <w:bCs/>
              </w:rPr>
              <w:t>, preparedness, response and recovery from emergencies</w:t>
            </w:r>
            <w:r>
              <w:rPr>
                <w:rFonts w:cs="Arial"/>
                <w:bCs/>
              </w:rPr>
              <w:t xml:space="preserve">.  In developing countries funding for health can come from a range of provides including Government financial support, partnership working between countries and non-governmental investment, e.g. </w:t>
            </w:r>
            <w:r w:rsidR="005A101A">
              <w:rPr>
                <w:rFonts w:cs="Arial"/>
                <w:bCs/>
              </w:rPr>
              <w:t>foundation, development banks</w:t>
            </w:r>
            <w:r>
              <w:rPr>
                <w:rFonts w:cs="Arial"/>
                <w:bCs/>
              </w:rPr>
              <w:t xml:space="preserve">.  </w:t>
            </w:r>
            <w:r w:rsidR="00D60A04">
              <w:rPr>
                <w:rFonts w:cs="Arial"/>
                <w:bCs/>
              </w:rPr>
              <w:t xml:space="preserve">The development of pharmaceuticals (e.g. drugs, vaccines), equipment, and innovative approaches to health information management may be considered as examples of technology transfer between countries with varying levels of development and resources. </w:t>
            </w:r>
            <w:r>
              <w:rPr>
                <w:rFonts w:cs="Arial"/>
                <w:bCs/>
              </w:rPr>
              <w:t>This needs to be captured to identify the wide ranging work being undertaken to strengthen disaster risk reduction in Health as well as in other areas of member States work.</w:t>
            </w:r>
          </w:p>
          <w:p w:rsidR="00C961BF" w:rsidRPr="002540D9" w:rsidRDefault="00C961BF" w:rsidP="00673E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color w:val="FFFFFF"/>
              </w:rPr>
            </w:pPr>
          </w:p>
        </w:tc>
      </w:tr>
      <w:tr w:rsidR="008B171B" w:rsidRPr="006F33FC" w:rsidTr="001335E7">
        <w:trPr>
          <w:trHeight w:val="886"/>
        </w:trPr>
        <w:tc>
          <w:tcPr>
            <w:cnfStyle w:val="001000000000" w:firstRow="0" w:lastRow="0" w:firstColumn="1" w:lastColumn="0" w:oddVBand="0" w:evenVBand="0" w:oddHBand="0" w:evenHBand="0" w:firstRowFirstColumn="0" w:firstRowLastColumn="0" w:lastRowFirstColumn="0" w:lastRowLastColumn="0"/>
            <w:tcW w:w="1325" w:type="pct"/>
            <w:vAlign w:val="center"/>
          </w:tcPr>
          <w:p w:rsidR="008B171B" w:rsidRDefault="008B171B" w:rsidP="00673E59">
            <w:pPr>
              <w:rPr>
                <w:sz w:val="20"/>
              </w:rPr>
            </w:pPr>
            <w:r>
              <w:rPr>
                <w:sz w:val="20"/>
              </w:rPr>
              <w:t>Baseline data and variation</w:t>
            </w:r>
          </w:p>
        </w:tc>
        <w:tc>
          <w:tcPr>
            <w:tcW w:w="3675" w:type="pct"/>
            <w:vAlign w:val="center"/>
          </w:tcPr>
          <w:p w:rsidR="00335C8E" w:rsidRPr="00335C8E" w:rsidRDefault="00335C8E" w:rsidP="00335C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T</w:t>
            </w:r>
            <w:r w:rsidRPr="00335C8E">
              <w:rPr>
                <w:rFonts w:cs="Arial"/>
                <w:bCs/>
              </w:rPr>
              <w:t>he development of baselines for monitoring progress in</w:t>
            </w:r>
            <w:r>
              <w:rPr>
                <w:rFonts w:cs="Arial"/>
                <w:bCs/>
              </w:rPr>
              <w:t xml:space="preserve"> </w:t>
            </w:r>
            <w:r w:rsidRPr="00335C8E">
              <w:rPr>
                <w:rFonts w:cs="Arial"/>
                <w:bCs/>
              </w:rPr>
              <w:t>achieving global targets will vary from country to country, subject to selected time frames and data</w:t>
            </w:r>
            <w:r>
              <w:rPr>
                <w:rFonts w:cs="Arial"/>
                <w:bCs/>
              </w:rPr>
              <w:t xml:space="preserve"> </w:t>
            </w:r>
            <w:r w:rsidRPr="00335C8E">
              <w:rPr>
                <w:rFonts w:cs="Arial"/>
                <w:bCs/>
              </w:rPr>
              <w:t>availability. Where data does not exist or has low visibility – for example, financial flows to/from the</w:t>
            </w:r>
          </w:p>
          <w:p w:rsidR="008B171B" w:rsidRPr="006F33FC" w:rsidRDefault="00335C8E" w:rsidP="00335C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color w:val="FFFFFF"/>
                <w:sz w:val="20"/>
              </w:rPr>
            </w:pPr>
            <w:r w:rsidRPr="00335C8E">
              <w:rPr>
                <w:rFonts w:cs="Arial"/>
                <w:bCs/>
              </w:rPr>
              <w:t>non-governmental organisations or the private sector – significant work will be required to establish</w:t>
            </w:r>
            <w:r>
              <w:rPr>
                <w:rFonts w:cs="Arial"/>
                <w:bCs/>
              </w:rPr>
              <w:t xml:space="preserve"> </w:t>
            </w:r>
            <w:r w:rsidRPr="00335C8E">
              <w:rPr>
                <w:rFonts w:cs="Arial"/>
                <w:bCs/>
              </w:rPr>
              <w:t>workable baselines. This may include the determination of data collection methodologies and tools at</w:t>
            </w:r>
            <w:r>
              <w:rPr>
                <w:rFonts w:cs="Arial"/>
                <w:bCs/>
              </w:rPr>
              <w:t xml:space="preserve"> </w:t>
            </w:r>
            <w:r w:rsidRPr="00335C8E">
              <w:rPr>
                <w:rFonts w:cs="Arial"/>
                <w:bCs/>
              </w:rPr>
              <w:t xml:space="preserve">the global and national levels respectively, and the </w:t>
            </w:r>
            <w:r>
              <w:rPr>
                <w:rFonts w:cs="Arial"/>
                <w:bCs/>
              </w:rPr>
              <w:t>d</w:t>
            </w:r>
            <w:r w:rsidRPr="00335C8E">
              <w:rPr>
                <w:rFonts w:cs="Arial"/>
                <w:bCs/>
              </w:rPr>
              <w:t>evelopment of capacities and competencies for</w:t>
            </w:r>
            <w:r>
              <w:rPr>
                <w:rFonts w:cs="Arial"/>
                <w:bCs/>
              </w:rPr>
              <w:t xml:space="preserve"> </w:t>
            </w:r>
            <w:r w:rsidRPr="00335C8E">
              <w:rPr>
                <w:rFonts w:cs="Arial"/>
                <w:bCs/>
              </w:rPr>
              <w:t>countries where baselines do not exist</w:t>
            </w:r>
          </w:p>
        </w:tc>
      </w:tr>
      <w:tr w:rsidR="008B171B" w:rsidRPr="006F33FC" w:rsidTr="001335E7">
        <w:trPr>
          <w:trHeight w:val="886"/>
        </w:trPr>
        <w:tc>
          <w:tcPr>
            <w:cnfStyle w:val="001000000000" w:firstRow="0" w:lastRow="0" w:firstColumn="1" w:lastColumn="0" w:oddVBand="0" w:evenVBand="0" w:oddHBand="0" w:evenHBand="0" w:firstRowFirstColumn="0" w:firstRowLastColumn="0" w:lastRowFirstColumn="0" w:lastRowLastColumn="0"/>
            <w:tcW w:w="1325" w:type="pct"/>
            <w:vAlign w:val="center"/>
          </w:tcPr>
          <w:p w:rsidR="008B171B" w:rsidRDefault="008B171B" w:rsidP="00673E59">
            <w:pPr>
              <w:rPr>
                <w:sz w:val="20"/>
              </w:rPr>
            </w:pPr>
            <w:r>
              <w:rPr>
                <w:sz w:val="20"/>
              </w:rPr>
              <w:t>Issues/ challenges</w:t>
            </w:r>
          </w:p>
          <w:p w:rsidR="008B171B" w:rsidRPr="008B171B" w:rsidRDefault="008B171B" w:rsidP="001335E7">
            <w:pPr>
              <w:pStyle w:val="ListParagraph"/>
              <w:numPr>
                <w:ilvl w:val="0"/>
                <w:numId w:val="15"/>
              </w:numPr>
              <w:ind w:left="426"/>
              <w:rPr>
                <w:sz w:val="20"/>
              </w:rPr>
            </w:pPr>
            <w:r w:rsidRPr="008B171B">
              <w:rPr>
                <w:sz w:val="20"/>
              </w:rPr>
              <w:t xml:space="preserve">Role of health </w:t>
            </w:r>
          </w:p>
          <w:p w:rsidR="008B171B" w:rsidRPr="008B171B" w:rsidRDefault="008B171B" w:rsidP="001335E7">
            <w:pPr>
              <w:pStyle w:val="ListParagraph"/>
              <w:numPr>
                <w:ilvl w:val="0"/>
                <w:numId w:val="15"/>
              </w:numPr>
              <w:ind w:left="426"/>
              <w:rPr>
                <w:sz w:val="20"/>
              </w:rPr>
            </w:pPr>
            <w:r w:rsidRPr="008B171B">
              <w:rPr>
                <w:sz w:val="20"/>
              </w:rPr>
              <w:t xml:space="preserve">Policy </w:t>
            </w:r>
          </w:p>
          <w:p w:rsidR="008B171B" w:rsidRPr="008B171B" w:rsidRDefault="008B171B" w:rsidP="001335E7">
            <w:pPr>
              <w:pStyle w:val="ListParagraph"/>
              <w:numPr>
                <w:ilvl w:val="0"/>
                <w:numId w:val="15"/>
              </w:numPr>
              <w:ind w:left="426"/>
              <w:rPr>
                <w:sz w:val="20"/>
              </w:rPr>
            </w:pPr>
            <w:r w:rsidRPr="008B171B">
              <w:rPr>
                <w:sz w:val="20"/>
              </w:rPr>
              <w:t>Governance</w:t>
            </w:r>
          </w:p>
          <w:p w:rsidR="008B171B" w:rsidRPr="008B171B" w:rsidRDefault="008B171B" w:rsidP="001335E7">
            <w:pPr>
              <w:pStyle w:val="ListParagraph"/>
              <w:numPr>
                <w:ilvl w:val="0"/>
                <w:numId w:val="15"/>
              </w:numPr>
              <w:ind w:left="426"/>
              <w:rPr>
                <w:sz w:val="20"/>
              </w:rPr>
            </w:pPr>
            <w:r w:rsidRPr="008B171B">
              <w:rPr>
                <w:sz w:val="20"/>
              </w:rPr>
              <w:t xml:space="preserve">Adoption and implementation </w:t>
            </w:r>
          </w:p>
          <w:p w:rsidR="008B171B" w:rsidRDefault="008B171B" w:rsidP="001335E7">
            <w:pPr>
              <w:pStyle w:val="ListParagraph"/>
              <w:numPr>
                <w:ilvl w:val="0"/>
                <w:numId w:val="15"/>
              </w:numPr>
              <w:ind w:left="426"/>
              <w:rPr>
                <w:sz w:val="20"/>
              </w:rPr>
            </w:pPr>
            <w:r w:rsidRPr="008B171B">
              <w:rPr>
                <w:sz w:val="20"/>
              </w:rPr>
              <w:t>Temporal aspect – data collection</w:t>
            </w:r>
          </w:p>
          <w:p w:rsidR="001335E7" w:rsidRPr="008B171B" w:rsidRDefault="001335E7" w:rsidP="001335E7">
            <w:pPr>
              <w:pStyle w:val="ListParagraph"/>
              <w:rPr>
                <w:sz w:val="20"/>
              </w:rPr>
            </w:pPr>
          </w:p>
        </w:tc>
        <w:tc>
          <w:tcPr>
            <w:tcW w:w="3675" w:type="pct"/>
            <w:vAlign w:val="center"/>
          </w:tcPr>
          <w:p w:rsidR="008B171B" w:rsidRDefault="00335C8E" w:rsidP="00673E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rPr>
            </w:pPr>
            <w:r w:rsidRPr="00335C8E">
              <w:rPr>
                <w:rFonts w:cs="Arial"/>
                <w:b/>
                <w:bCs/>
              </w:rPr>
              <w:t>Disaggregation</w:t>
            </w:r>
            <w:r>
              <w:rPr>
                <w:rFonts w:cs="Arial"/>
                <w:bCs/>
              </w:rPr>
              <w:t xml:space="preserve"> – see Overview</w:t>
            </w:r>
          </w:p>
          <w:p w:rsidR="00335C8E" w:rsidRDefault="00335C8E" w:rsidP="00673E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rPr>
            </w:pPr>
          </w:p>
          <w:p w:rsidR="00335C8E" w:rsidRPr="00335C8E" w:rsidRDefault="00335C8E" w:rsidP="00673E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color w:val="FFFFFF"/>
              </w:rPr>
            </w:pPr>
            <w:r w:rsidRPr="00335C8E">
              <w:rPr>
                <w:rFonts w:cs="Arial"/>
                <w:b/>
                <w:bCs/>
              </w:rPr>
              <w:t>Data sources</w:t>
            </w:r>
            <w:r>
              <w:rPr>
                <w:rFonts w:cs="Arial"/>
                <w:bCs/>
              </w:rPr>
              <w:t xml:space="preserve"> – see Overview</w:t>
            </w:r>
          </w:p>
        </w:tc>
      </w:tr>
    </w:tbl>
    <w:p w:rsidR="001335E7" w:rsidRDefault="001335E7" w:rsidP="001335E7">
      <w:pPr>
        <w:pStyle w:val="ListParagraph"/>
        <w:spacing w:after="0" w:line="360" w:lineRule="auto"/>
        <w:ind w:left="426"/>
        <w:rPr>
          <w:b/>
        </w:rPr>
      </w:pPr>
    </w:p>
    <w:p w:rsidR="00B27EA0" w:rsidRDefault="00B27EA0" w:rsidP="001335E7">
      <w:pPr>
        <w:pStyle w:val="ListParagraph"/>
        <w:spacing w:after="0" w:line="360" w:lineRule="auto"/>
        <w:ind w:left="426"/>
        <w:rPr>
          <w:b/>
        </w:rPr>
      </w:pPr>
    </w:p>
    <w:p w:rsidR="001335E7" w:rsidRDefault="001335E7" w:rsidP="00E70D5D">
      <w:pPr>
        <w:pStyle w:val="ListParagraph"/>
        <w:numPr>
          <w:ilvl w:val="0"/>
          <w:numId w:val="1"/>
        </w:numPr>
        <w:spacing w:after="0" w:line="360" w:lineRule="auto"/>
        <w:ind w:left="426"/>
        <w:rPr>
          <w:b/>
        </w:rPr>
      </w:pPr>
      <w:r>
        <w:rPr>
          <w:b/>
        </w:rPr>
        <w:lastRenderedPageBreak/>
        <w:t>Methodology</w:t>
      </w:r>
      <w:bookmarkStart w:id="0" w:name="_GoBack"/>
      <w:bookmarkEnd w:id="0"/>
    </w:p>
    <w:tbl>
      <w:tblPr>
        <w:tblStyle w:val="MediumGrid3-Accent1"/>
        <w:tblW w:w="5008" w:type="pct"/>
        <w:tblLook w:val="0680" w:firstRow="0" w:lastRow="0" w:firstColumn="1" w:lastColumn="0" w:noHBand="1" w:noVBand="1"/>
      </w:tblPr>
      <w:tblGrid>
        <w:gridCol w:w="2379"/>
        <w:gridCol w:w="6878"/>
      </w:tblGrid>
      <w:tr w:rsidR="001335E7" w:rsidRPr="006F33FC" w:rsidTr="00673E59">
        <w:trPr>
          <w:trHeight w:val="886"/>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Pr="007B7DFE" w:rsidRDefault="001335E7" w:rsidP="00673E59">
            <w:pPr>
              <w:autoSpaceDE w:val="0"/>
              <w:autoSpaceDN w:val="0"/>
              <w:adjustRightInd w:val="0"/>
              <w:rPr>
                <w:rFonts w:cs="Arial"/>
                <w:bCs w:val="0"/>
              </w:rPr>
            </w:pPr>
            <w:r w:rsidRPr="007B7DFE">
              <w:rPr>
                <w:rFonts w:cs="Arial"/>
                <w:bCs w:val="0"/>
              </w:rPr>
              <w:t>What is measures</w:t>
            </w:r>
          </w:p>
        </w:tc>
        <w:tc>
          <w:tcPr>
            <w:tcW w:w="3715" w:type="pct"/>
            <w:vAlign w:val="center"/>
          </w:tcPr>
          <w:p w:rsidR="001335E7" w:rsidRDefault="007B7DFE" w:rsidP="00673E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rPr>
            </w:pPr>
            <w:r w:rsidRPr="007B7DFE">
              <w:rPr>
                <w:rFonts w:cs="Arial"/>
                <w:bCs/>
              </w:rPr>
              <w:t>Target G seeks to measure the total official international support (ODA plus other official flows) for national disaster risk reduction</w:t>
            </w:r>
            <w:r w:rsidR="00077F91">
              <w:rPr>
                <w:rFonts w:cs="Arial"/>
                <w:bCs/>
              </w:rPr>
              <w:t xml:space="preserve"> as per the Sendai Framework for Disaster Risk Reduction.</w:t>
            </w:r>
          </w:p>
          <w:p w:rsidR="00077F91" w:rsidRPr="007B7DFE" w:rsidRDefault="00077F91" w:rsidP="00673E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Customisable indicators which are outside the scope of the Sendai Framework may be considered.</w:t>
            </w:r>
          </w:p>
          <w:p w:rsidR="007B7DFE" w:rsidRPr="007B7DFE" w:rsidRDefault="007B7DFE" w:rsidP="00673E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color w:val="FFFFFF"/>
              </w:rPr>
            </w:pPr>
          </w:p>
        </w:tc>
      </w:tr>
      <w:tr w:rsidR="001335E7" w:rsidRPr="006F33FC" w:rsidTr="00673E59">
        <w:trPr>
          <w:trHeight w:val="886"/>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Pr="006F33FC" w:rsidRDefault="001335E7" w:rsidP="00673E59">
            <w:pPr>
              <w:autoSpaceDE w:val="0"/>
              <w:autoSpaceDN w:val="0"/>
              <w:adjustRightInd w:val="0"/>
              <w:rPr>
                <w:rFonts w:cs="Arial"/>
                <w:sz w:val="20"/>
              </w:rPr>
            </w:pPr>
            <w:r w:rsidRPr="006F33FC">
              <w:rPr>
                <w:rFonts w:cs="Arial"/>
                <w:sz w:val="20"/>
              </w:rPr>
              <w:t>Key terms</w:t>
            </w:r>
          </w:p>
        </w:tc>
        <w:tc>
          <w:tcPr>
            <w:tcW w:w="3715" w:type="pct"/>
            <w:vAlign w:val="center"/>
          </w:tcPr>
          <w:p w:rsidR="001335E7" w:rsidRDefault="007B7DFE" w:rsidP="00673E5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b/>
              </w:rPr>
              <w:t>International cooperation</w:t>
            </w:r>
            <w:r>
              <w:t xml:space="preserve"> – concerns official Development Finance (ODF) which is used by the OECD DAC to measure inflow of resources to recipient countries and includes bilateral </w:t>
            </w:r>
            <w:r w:rsidR="00B153CC">
              <w:t>ODA, grants and concessional and non-concessional development lending by multilateral financial institutions, and other official flows (OOF) for development purposes (including refinancing loans) which have too low a grant element to qualify as ODA.</w:t>
            </w:r>
          </w:p>
          <w:p w:rsidR="00B153CC" w:rsidRDefault="00B153CC" w:rsidP="00673E5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p w:rsidR="00B153CC" w:rsidRPr="00B153CC" w:rsidRDefault="00B153CC" w:rsidP="00673E5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b/>
              </w:rPr>
              <w:t xml:space="preserve">Official development assistance (ODA) </w:t>
            </w:r>
            <w:r w:rsidR="00C97955">
              <w:t>–</w:t>
            </w:r>
            <w:r>
              <w:t xml:space="preserve"> </w:t>
            </w:r>
            <w:r w:rsidR="00C97955">
              <w:t>this is a list of countries and territories maintained by the Organisation for Economic Co-operation and Development (OECD) with per capita incomes below USD 12 276 in 2010.  IODA is designed to promote the economic development and welfare of developing countries.  The list is periodically updated and currently contains over 150 countries or territories</w:t>
            </w:r>
            <w:r w:rsidR="00C97955">
              <w:rPr>
                <w:rStyle w:val="FootnoteReference"/>
              </w:rPr>
              <w:footnoteReference w:id="1"/>
            </w:r>
            <w:r w:rsidR="00C97955">
              <w:t>.</w:t>
            </w:r>
          </w:p>
          <w:p w:rsidR="00B153CC" w:rsidRPr="007B7DFE" w:rsidRDefault="00B153CC" w:rsidP="00673E5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1335E7" w:rsidRPr="006F33FC" w:rsidTr="00673E59">
        <w:trPr>
          <w:trHeight w:val="886"/>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Pr="006F33FC" w:rsidRDefault="001335E7" w:rsidP="00673E59">
            <w:pPr>
              <w:autoSpaceDE w:val="0"/>
              <w:autoSpaceDN w:val="0"/>
              <w:adjustRightInd w:val="0"/>
              <w:rPr>
                <w:rFonts w:cs="Arial"/>
                <w:bCs w:val="0"/>
                <w:sz w:val="20"/>
              </w:rPr>
            </w:pPr>
            <w:r w:rsidRPr="006F33FC">
              <w:rPr>
                <w:rFonts w:cs="Arial"/>
                <w:bCs w:val="0"/>
                <w:sz w:val="20"/>
              </w:rPr>
              <w:t xml:space="preserve">Health </w:t>
            </w:r>
            <w:r>
              <w:rPr>
                <w:rFonts w:cs="Arial"/>
                <w:bCs w:val="0"/>
                <w:sz w:val="20"/>
              </w:rPr>
              <w:t>input</w:t>
            </w:r>
            <w:r w:rsidRPr="006F33FC">
              <w:rPr>
                <w:rFonts w:cs="Arial"/>
                <w:bCs w:val="0"/>
                <w:sz w:val="20"/>
              </w:rPr>
              <w:t xml:space="preserve"> </w:t>
            </w:r>
          </w:p>
        </w:tc>
        <w:tc>
          <w:tcPr>
            <w:tcW w:w="3715" w:type="pct"/>
            <w:vAlign w:val="center"/>
          </w:tcPr>
          <w:p w:rsidR="007B7DFE" w:rsidRPr="00B27EA0" w:rsidRDefault="007B7DFE" w:rsidP="00A44177">
            <w:pPr>
              <w:numPr>
                <w:ilvl w:val="0"/>
                <w:numId w:val="17"/>
              </w:numPr>
              <w:contextualSpacing/>
              <w:cnfStyle w:val="000000000000" w:firstRow="0" w:lastRow="0" w:firstColumn="0" w:lastColumn="0" w:oddVBand="0" w:evenVBand="0" w:oddHBand="0" w:evenHBand="0" w:firstRowFirstColumn="0" w:firstRowLastColumn="0" w:lastRowFirstColumn="0" w:lastRowLastColumn="0"/>
              <w:rPr>
                <w:sz w:val="21"/>
                <w:szCs w:val="21"/>
              </w:rPr>
            </w:pPr>
            <w:r w:rsidRPr="00B27EA0">
              <w:rPr>
                <w:sz w:val="21"/>
                <w:szCs w:val="21"/>
              </w:rPr>
              <w:t>Example activities</w:t>
            </w:r>
            <w:r w:rsidR="00D60A04" w:rsidRPr="00B27EA0">
              <w:rPr>
                <w:sz w:val="21"/>
                <w:szCs w:val="21"/>
              </w:rPr>
              <w:t xml:space="preserve"> (refer to the Sendai Framework and WHO frameworks including the (draft) Health Emergency and Disaster Risk Management Framework, </w:t>
            </w:r>
            <w:r w:rsidR="00A44177" w:rsidRPr="00B27EA0">
              <w:rPr>
                <w:sz w:val="21"/>
                <w:szCs w:val="21"/>
              </w:rPr>
              <w:t>Framework for Climate Resilient Health Systems, International Health Regulations  (</w:t>
            </w:r>
            <w:r w:rsidR="00A44177" w:rsidRPr="00B27EA0">
              <w:rPr>
                <w:i/>
                <w:iCs/>
                <w:sz w:val="21"/>
                <w:szCs w:val="21"/>
              </w:rPr>
              <w:t>NB:</w:t>
            </w:r>
            <w:r w:rsidR="00A44177" w:rsidRPr="00B27EA0">
              <w:rPr>
                <w:sz w:val="21"/>
                <w:szCs w:val="21"/>
              </w:rPr>
              <w:t xml:space="preserve"> </w:t>
            </w:r>
            <w:r w:rsidR="00A44177" w:rsidRPr="00B27EA0">
              <w:rPr>
                <w:i/>
                <w:iCs/>
                <w:sz w:val="21"/>
                <w:szCs w:val="21"/>
              </w:rPr>
              <w:t>a resource will be referenced or developed)</w:t>
            </w:r>
            <w:r w:rsidR="00A44177" w:rsidRPr="00B27EA0">
              <w:rPr>
                <w:sz w:val="21"/>
                <w:szCs w:val="21"/>
              </w:rPr>
              <w:t>)</w:t>
            </w:r>
          </w:p>
          <w:p w:rsidR="007B7DFE" w:rsidRPr="00B27EA0" w:rsidRDefault="007B7DFE" w:rsidP="005A101A">
            <w:pPr>
              <w:pStyle w:val="ListParagraph"/>
              <w:numPr>
                <w:ilvl w:val="1"/>
                <w:numId w:val="17"/>
              </w:numPr>
              <w:ind w:left="882" w:hanging="284"/>
              <w:cnfStyle w:val="000000000000" w:firstRow="0" w:lastRow="0" w:firstColumn="0" w:lastColumn="0" w:oddVBand="0" w:evenVBand="0" w:oddHBand="0" w:evenHBand="0" w:firstRowFirstColumn="0" w:firstRowLastColumn="0" w:lastRowFirstColumn="0" w:lastRowLastColumn="0"/>
              <w:rPr>
                <w:sz w:val="21"/>
                <w:szCs w:val="21"/>
              </w:rPr>
            </w:pPr>
            <w:r w:rsidRPr="00B27EA0">
              <w:rPr>
                <w:sz w:val="21"/>
                <w:szCs w:val="21"/>
              </w:rPr>
              <w:t xml:space="preserve">Training of health care providers in </w:t>
            </w:r>
            <w:r w:rsidR="005A101A" w:rsidRPr="00B27EA0">
              <w:rPr>
                <w:sz w:val="21"/>
                <w:szCs w:val="21"/>
              </w:rPr>
              <w:t xml:space="preserve">health emergency and disaster risk management including emergency </w:t>
            </w:r>
            <w:r w:rsidRPr="00B27EA0">
              <w:rPr>
                <w:sz w:val="21"/>
                <w:szCs w:val="21"/>
              </w:rPr>
              <w:t xml:space="preserve"> preparedness and response</w:t>
            </w:r>
            <w:r w:rsidR="005A101A" w:rsidRPr="00B27EA0">
              <w:rPr>
                <w:sz w:val="21"/>
                <w:szCs w:val="21"/>
              </w:rPr>
              <w:t xml:space="preserve"> across health services</w:t>
            </w:r>
          </w:p>
          <w:p w:rsidR="005A101A" w:rsidRPr="00B27EA0" w:rsidRDefault="00791E19" w:rsidP="00791E19">
            <w:pPr>
              <w:pStyle w:val="ListParagraph"/>
              <w:numPr>
                <w:ilvl w:val="1"/>
                <w:numId w:val="17"/>
              </w:numPr>
              <w:ind w:left="882" w:hanging="284"/>
              <w:cnfStyle w:val="000000000000" w:firstRow="0" w:lastRow="0" w:firstColumn="0" w:lastColumn="0" w:oddVBand="0" w:evenVBand="0" w:oddHBand="0" w:evenHBand="0" w:firstRowFirstColumn="0" w:firstRowLastColumn="0" w:lastRowFirstColumn="0" w:lastRowLastColumn="0"/>
              <w:rPr>
                <w:sz w:val="21"/>
                <w:szCs w:val="21"/>
              </w:rPr>
            </w:pPr>
            <w:r w:rsidRPr="00B27EA0">
              <w:rPr>
                <w:sz w:val="21"/>
                <w:szCs w:val="21"/>
              </w:rPr>
              <w:t>Designing and implementing w</w:t>
            </w:r>
            <w:r w:rsidR="005A101A" w:rsidRPr="00B27EA0">
              <w:rPr>
                <w:sz w:val="21"/>
                <w:szCs w:val="21"/>
              </w:rPr>
              <w:t xml:space="preserve">ater and sanitation infrastructure </w:t>
            </w:r>
            <w:r w:rsidRPr="00B27EA0">
              <w:rPr>
                <w:sz w:val="21"/>
                <w:szCs w:val="21"/>
              </w:rPr>
              <w:t>to withstand hazards and reduce risks to health</w:t>
            </w:r>
          </w:p>
          <w:p w:rsidR="007B7DFE" w:rsidRPr="00B27EA0" w:rsidRDefault="007B7DFE" w:rsidP="007B7DFE">
            <w:pPr>
              <w:pStyle w:val="ListParagraph"/>
              <w:numPr>
                <w:ilvl w:val="1"/>
                <w:numId w:val="17"/>
              </w:numPr>
              <w:ind w:left="882" w:hanging="284"/>
              <w:cnfStyle w:val="000000000000" w:firstRow="0" w:lastRow="0" w:firstColumn="0" w:lastColumn="0" w:oddVBand="0" w:evenVBand="0" w:oddHBand="0" w:evenHBand="0" w:firstRowFirstColumn="0" w:firstRowLastColumn="0" w:lastRowFirstColumn="0" w:lastRowLastColumn="0"/>
              <w:rPr>
                <w:sz w:val="21"/>
                <w:szCs w:val="21"/>
              </w:rPr>
            </w:pPr>
            <w:r w:rsidRPr="00B27EA0">
              <w:rPr>
                <w:sz w:val="21"/>
                <w:szCs w:val="21"/>
              </w:rPr>
              <w:t>Retrofitting existing health infrastructure such as health centres and hospitals with disaster resilient building codes</w:t>
            </w:r>
          </w:p>
          <w:p w:rsidR="007B7DFE" w:rsidRPr="00B27EA0" w:rsidRDefault="007B7DFE">
            <w:pPr>
              <w:pStyle w:val="ListParagraph"/>
              <w:numPr>
                <w:ilvl w:val="1"/>
                <w:numId w:val="17"/>
              </w:numPr>
              <w:ind w:left="882" w:hanging="284"/>
              <w:cnfStyle w:val="000000000000" w:firstRow="0" w:lastRow="0" w:firstColumn="0" w:lastColumn="0" w:oddVBand="0" w:evenVBand="0" w:oddHBand="0" w:evenHBand="0" w:firstRowFirstColumn="0" w:firstRowLastColumn="0" w:lastRowFirstColumn="0" w:lastRowLastColumn="0"/>
              <w:rPr>
                <w:sz w:val="21"/>
                <w:szCs w:val="21"/>
              </w:rPr>
            </w:pPr>
            <w:r w:rsidRPr="00B27EA0">
              <w:rPr>
                <w:sz w:val="21"/>
                <w:szCs w:val="21"/>
              </w:rPr>
              <w:t xml:space="preserve">Assessing changes in risk </w:t>
            </w:r>
            <w:r w:rsidR="00A44177" w:rsidRPr="00B27EA0">
              <w:rPr>
                <w:sz w:val="21"/>
                <w:szCs w:val="21"/>
              </w:rPr>
              <w:t xml:space="preserve">associated with all types of hazards (e.g. </w:t>
            </w:r>
            <w:r w:rsidRPr="00B27EA0">
              <w:rPr>
                <w:sz w:val="21"/>
                <w:szCs w:val="21"/>
              </w:rPr>
              <w:t>exposure</w:t>
            </w:r>
            <w:r w:rsidR="00E86820" w:rsidRPr="00B27EA0">
              <w:rPr>
                <w:sz w:val="21"/>
                <w:szCs w:val="21"/>
              </w:rPr>
              <w:t xml:space="preserve"> </w:t>
            </w:r>
            <w:r w:rsidRPr="00B27EA0">
              <w:rPr>
                <w:sz w:val="21"/>
                <w:szCs w:val="21"/>
              </w:rPr>
              <w:t>and</w:t>
            </w:r>
            <w:r w:rsidR="00A44177" w:rsidRPr="00B27EA0">
              <w:rPr>
                <w:sz w:val="21"/>
                <w:szCs w:val="21"/>
              </w:rPr>
              <w:t xml:space="preserve"> susceptibility</w:t>
            </w:r>
            <w:r w:rsidRPr="00B27EA0">
              <w:rPr>
                <w:sz w:val="21"/>
                <w:szCs w:val="21"/>
              </w:rPr>
              <w:t xml:space="preserve"> to </w:t>
            </w:r>
            <w:r w:rsidR="00A44177" w:rsidRPr="00B27EA0">
              <w:rPr>
                <w:sz w:val="21"/>
                <w:szCs w:val="21"/>
              </w:rPr>
              <w:t xml:space="preserve">infectious </w:t>
            </w:r>
            <w:r w:rsidRPr="00B27EA0">
              <w:rPr>
                <w:sz w:val="21"/>
                <w:szCs w:val="21"/>
              </w:rPr>
              <w:t>diseases</w:t>
            </w:r>
            <w:r w:rsidR="00A44177" w:rsidRPr="00B27EA0">
              <w:rPr>
                <w:sz w:val="21"/>
                <w:szCs w:val="21"/>
              </w:rPr>
              <w:t xml:space="preserve"> and  extreme weather events</w:t>
            </w:r>
            <w:r w:rsidR="00E86820" w:rsidRPr="00B27EA0">
              <w:rPr>
                <w:sz w:val="21"/>
                <w:szCs w:val="21"/>
              </w:rPr>
              <w:t xml:space="preserve"> </w:t>
            </w:r>
            <w:r w:rsidR="00A44177" w:rsidRPr="00B27EA0">
              <w:rPr>
                <w:sz w:val="21"/>
                <w:szCs w:val="21"/>
              </w:rPr>
              <w:t xml:space="preserve">for </w:t>
            </w:r>
            <w:r w:rsidR="00E86820" w:rsidRPr="00B27EA0">
              <w:rPr>
                <w:sz w:val="21"/>
                <w:szCs w:val="21"/>
              </w:rPr>
              <w:t xml:space="preserve">groups with specific </w:t>
            </w:r>
            <w:r w:rsidRPr="00B27EA0">
              <w:rPr>
                <w:sz w:val="21"/>
                <w:szCs w:val="21"/>
              </w:rPr>
              <w:t>vulnerab</w:t>
            </w:r>
            <w:r w:rsidR="00E86820" w:rsidRPr="00B27EA0">
              <w:rPr>
                <w:sz w:val="21"/>
                <w:szCs w:val="21"/>
              </w:rPr>
              <w:t>ilities</w:t>
            </w:r>
            <w:r w:rsidR="00A44177" w:rsidRPr="00B27EA0">
              <w:rPr>
                <w:sz w:val="21"/>
                <w:szCs w:val="21"/>
              </w:rPr>
              <w:t>)</w:t>
            </w:r>
          </w:p>
          <w:p w:rsidR="007B7DFE" w:rsidRPr="00B27EA0" w:rsidRDefault="007B7DFE" w:rsidP="007B7DFE">
            <w:pPr>
              <w:pStyle w:val="ListParagraph"/>
              <w:numPr>
                <w:ilvl w:val="1"/>
                <w:numId w:val="17"/>
              </w:numPr>
              <w:ind w:left="882" w:hanging="284"/>
              <w:cnfStyle w:val="000000000000" w:firstRow="0" w:lastRow="0" w:firstColumn="0" w:lastColumn="0" w:oddVBand="0" w:evenVBand="0" w:oddHBand="0" w:evenHBand="0" w:firstRowFirstColumn="0" w:firstRowLastColumn="0" w:lastRowFirstColumn="0" w:lastRowLastColumn="0"/>
              <w:rPr>
                <w:sz w:val="21"/>
                <w:szCs w:val="21"/>
              </w:rPr>
            </w:pPr>
            <w:r w:rsidRPr="00B27EA0">
              <w:rPr>
                <w:sz w:val="21"/>
                <w:szCs w:val="21"/>
              </w:rPr>
              <w:t>Incorporating disaster-related health risks into clinical practice guidelines, and curricula for continuous medical education and training</w:t>
            </w:r>
          </w:p>
          <w:p w:rsidR="007B7DFE" w:rsidRPr="00B27EA0" w:rsidRDefault="007B7DFE" w:rsidP="00A44177">
            <w:pPr>
              <w:pStyle w:val="ListParagraph"/>
              <w:numPr>
                <w:ilvl w:val="1"/>
                <w:numId w:val="17"/>
              </w:numPr>
              <w:ind w:left="882" w:hanging="284"/>
              <w:cnfStyle w:val="000000000000" w:firstRow="0" w:lastRow="0" w:firstColumn="0" w:lastColumn="0" w:oddVBand="0" w:evenVBand="0" w:oddHBand="0" w:evenHBand="0" w:firstRowFirstColumn="0" w:firstRowLastColumn="0" w:lastRowFirstColumn="0" w:lastRowLastColumn="0"/>
              <w:rPr>
                <w:sz w:val="21"/>
                <w:szCs w:val="21"/>
              </w:rPr>
            </w:pPr>
            <w:r w:rsidRPr="00B27EA0">
              <w:rPr>
                <w:sz w:val="21"/>
                <w:szCs w:val="21"/>
              </w:rPr>
              <w:t>Preventive measures to counteract increased exposure to</w:t>
            </w:r>
            <w:r w:rsidR="00A44177" w:rsidRPr="00B27EA0">
              <w:rPr>
                <w:sz w:val="21"/>
                <w:szCs w:val="21"/>
              </w:rPr>
              <w:t xml:space="preserve"> epidemic</w:t>
            </w:r>
            <w:r w:rsidRPr="00B27EA0">
              <w:rPr>
                <w:sz w:val="21"/>
                <w:szCs w:val="21"/>
              </w:rPr>
              <w:t xml:space="preserve"> diseases </w:t>
            </w:r>
          </w:p>
          <w:p w:rsidR="00A44177" w:rsidRPr="00B27EA0" w:rsidRDefault="00A44177" w:rsidP="00A44177">
            <w:pPr>
              <w:pStyle w:val="ListParagraph"/>
              <w:numPr>
                <w:ilvl w:val="1"/>
                <w:numId w:val="17"/>
              </w:numPr>
              <w:ind w:left="882" w:hanging="284"/>
              <w:cnfStyle w:val="000000000000" w:firstRow="0" w:lastRow="0" w:firstColumn="0" w:lastColumn="0" w:oddVBand="0" w:evenVBand="0" w:oddHBand="0" w:evenHBand="0" w:firstRowFirstColumn="0" w:firstRowLastColumn="0" w:lastRowFirstColumn="0" w:lastRowLastColumn="0"/>
              <w:rPr>
                <w:sz w:val="21"/>
                <w:szCs w:val="21"/>
              </w:rPr>
            </w:pPr>
            <w:r w:rsidRPr="00B27EA0">
              <w:rPr>
                <w:sz w:val="21"/>
                <w:szCs w:val="21"/>
              </w:rPr>
              <w:t xml:space="preserve">Health systems strengthening aimed to reducing risks of emergencies and disasters and building resilience, including for example: </w:t>
            </w:r>
          </w:p>
          <w:p w:rsidR="007B7DFE" w:rsidRPr="00B27EA0" w:rsidRDefault="007B7DFE" w:rsidP="007B7DFE">
            <w:pPr>
              <w:pStyle w:val="ListParagraph"/>
              <w:numPr>
                <w:ilvl w:val="1"/>
                <w:numId w:val="17"/>
              </w:numPr>
              <w:ind w:left="882" w:hanging="284"/>
              <w:cnfStyle w:val="000000000000" w:firstRow="0" w:lastRow="0" w:firstColumn="0" w:lastColumn="0" w:oddVBand="0" w:evenVBand="0" w:oddHBand="0" w:evenHBand="0" w:firstRowFirstColumn="0" w:firstRowLastColumn="0" w:lastRowFirstColumn="0" w:lastRowLastColumn="0"/>
              <w:rPr>
                <w:sz w:val="21"/>
                <w:szCs w:val="21"/>
              </w:rPr>
            </w:pPr>
            <w:r w:rsidRPr="00B27EA0">
              <w:rPr>
                <w:sz w:val="21"/>
                <w:szCs w:val="21"/>
              </w:rPr>
              <w:t>Strengthening health management information systems related to disaster risk management</w:t>
            </w:r>
          </w:p>
          <w:p w:rsidR="005A101A" w:rsidRPr="00B27EA0" w:rsidRDefault="005A101A">
            <w:pPr>
              <w:pStyle w:val="ListParagraph"/>
              <w:numPr>
                <w:ilvl w:val="1"/>
                <w:numId w:val="17"/>
              </w:numPr>
              <w:ind w:left="882" w:hanging="284"/>
              <w:cnfStyle w:val="000000000000" w:firstRow="0" w:lastRow="0" w:firstColumn="0" w:lastColumn="0" w:oddVBand="0" w:evenVBand="0" w:oddHBand="0" w:evenHBand="0" w:firstRowFirstColumn="0" w:firstRowLastColumn="0" w:lastRowFirstColumn="0" w:lastRowLastColumn="0"/>
              <w:rPr>
                <w:sz w:val="21"/>
                <w:szCs w:val="21"/>
              </w:rPr>
            </w:pPr>
            <w:r w:rsidRPr="00B27EA0">
              <w:rPr>
                <w:sz w:val="21"/>
                <w:szCs w:val="21"/>
              </w:rPr>
              <w:t xml:space="preserve">Routine and emergency vaccination </w:t>
            </w:r>
            <w:proofErr w:type="spellStart"/>
            <w:r w:rsidRPr="00B27EA0">
              <w:rPr>
                <w:sz w:val="21"/>
                <w:szCs w:val="21"/>
              </w:rPr>
              <w:t>programmes</w:t>
            </w:r>
            <w:r w:rsidR="0026001C" w:rsidRPr="00B27EA0">
              <w:rPr>
                <w:sz w:val="21"/>
                <w:szCs w:val="21"/>
              </w:rPr>
              <w:t>,and</w:t>
            </w:r>
            <w:proofErr w:type="spellEnd"/>
            <w:r w:rsidR="0026001C" w:rsidRPr="00B27EA0">
              <w:rPr>
                <w:sz w:val="21"/>
                <w:szCs w:val="21"/>
              </w:rPr>
              <w:t xml:space="preserve"> development, production and distribution </w:t>
            </w:r>
            <w:r w:rsidR="00A44177" w:rsidRPr="00B27EA0">
              <w:rPr>
                <w:sz w:val="21"/>
                <w:szCs w:val="21"/>
              </w:rPr>
              <w:t xml:space="preserve">of new </w:t>
            </w:r>
            <w:r w:rsidR="0026001C" w:rsidRPr="00B27EA0">
              <w:rPr>
                <w:sz w:val="21"/>
                <w:szCs w:val="21"/>
              </w:rPr>
              <w:t>pharmaceuticals</w:t>
            </w:r>
          </w:p>
          <w:p w:rsidR="001335E7" w:rsidRPr="00B27EA0" w:rsidRDefault="001335E7">
            <w:pPr>
              <w:pStyle w:val="ListParagraph"/>
              <w:ind w:left="882"/>
              <w:cnfStyle w:val="000000000000" w:firstRow="0" w:lastRow="0" w:firstColumn="0" w:lastColumn="0" w:oddVBand="0" w:evenVBand="0" w:oddHBand="0" w:evenHBand="0" w:firstRowFirstColumn="0" w:firstRowLastColumn="0" w:lastRowFirstColumn="0" w:lastRowLastColumn="0"/>
              <w:rPr>
                <w:sz w:val="21"/>
                <w:szCs w:val="21"/>
              </w:rPr>
            </w:pPr>
          </w:p>
        </w:tc>
      </w:tr>
      <w:tr w:rsidR="001335E7" w:rsidRPr="006F33FC" w:rsidTr="00673E59">
        <w:trPr>
          <w:trHeight w:val="886"/>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Pr="006F33FC" w:rsidRDefault="001335E7" w:rsidP="00673E59">
            <w:pPr>
              <w:autoSpaceDE w:val="0"/>
              <w:autoSpaceDN w:val="0"/>
              <w:adjustRightInd w:val="0"/>
              <w:rPr>
                <w:rFonts w:cs="Arial"/>
                <w:bCs w:val="0"/>
                <w:sz w:val="20"/>
              </w:rPr>
            </w:pPr>
            <w:r>
              <w:rPr>
                <w:rFonts w:cs="Arial"/>
                <w:bCs w:val="0"/>
                <w:sz w:val="20"/>
              </w:rPr>
              <w:lastRenderedPageBreak/>
              <w:t xml:space="preserve">Who to engage with </w:t>
            </w:r>
          </w:p>
        </w:tc>
        <w:tc>
          <w:tcPr>
            <w:tcW w:w="3715" w:type="pct"/>
            <w:vAlign w:val="center"/>
          </w:tcPr>
          <w:p w:rsidR="001335E7" w:rsidRPr="00B27EA0" w:rsidRDefault="00D522E2" w:rsidP="00A44177">
            <w:pPr>
              <w:cnfStyle w:val="000000000000" w:firstRow="0" w:lastRow="0" w:firstColumn="0" w:lastColumn="0" w:oddVBand="0" w:evenVBand="0" w:oddHBand="0" w:evenHBand="0" w:firstRowFirstColumn="0" w:firstRowLastColumn="0" w:lastRowFirstColumn="0" w:lastRowLastColumn="0"/>
              <w:rPr>
                <w:sz w:val="21"/>
                <w:szCs w:val="21"/>
              </w:rPr>
            </w:pPr>
            <w:r w:rsidRPr="00B27EA0">
              <w:rPr>
                <w:sz w:val="21"/>
                <w:szCs w:val="21"/>
              </w:rPr>
              <w:t xml:space="preserve">Sendia Framework </w:t>
            </w:r>
            <w:r w:rsidR="00A44177" w:rsidRPr="00B27EA0">
              <w:rPr>
                <w:sz w:val="21"/>
                <w:szCs w:val="21"/>
              </w:rPr>
              <w:t xml:space="preserve">Monitoring </w:t>
            </w:r>
            <w:r w:rsidRPr="00B27EA0">
              <w:rPr>
                <w:sz w:val="21"/>
                <w:szCs w:val="21"/>
              </w:rPr>
              <w:t>National Focal Point</w:t>
            </w:r>
          </w:p>
          <w:p w:rsidR="00A44177" w:rsidRPr="00B27EA0" w:rsidRDefault="00A44177" w:rsidP="00A44177">
            <w:pPr>
              <w:cnfStyle w:val="000000000000" w:firstRow="0" w:lastRow="0" w:firstColumn="0" w:lastColumn="0" w:oddVBand="0" w:evenVBand="0" w:oddHBand="0" w:evenHBand="0" w:firstRowFirstColumn="0" w:firstRowLastColumn="0" w:lastRowFirstColumn="0" w:lastRowLastColumn="0"/>
              <w:rPr>
                <w:sz w:val="21"/>
                <w:szCs w:val="21"/>
              </w:rPr>
            </w:pPr>
            <w:r w:rsidRPr="00B27EA0">
              <w:rPr>
                <w:sz w:val="21"/>
                <w:szCs w:val="21"/>
              </w:rPr>
              <w:t>Ministry of Health directorate of  planning and financing or equivalent</w:t>
            </w:r>
          </w:p>
          <w:p w:rsidR="00A44177" w:rsidRPr="00B27EA0" w:rsidRDefault="00A44177" w:rsidP="00A44177">
            <w:pPr>
              <w:cnfStyle w:val="000000000000" w:firstRow="0" w:lastRow="0" w:firstColumn="0" w:lastColumn="0" w:oddVBand="0" w:evenVBand="0" w:oddHBand="0" w:evenHBand="0" w:firstRowFirstColumn="0" w:firstRowLastColumn="0" w:lastRowFirstColumn="0" w:lastRowLastColumn="0"/>
              <w:rPr>
                <w:sz w:val="21"/>
                <w:szCs w:val="21"/>
              </w:rPr>
            </w:pPr>
            <w:r w:rsidRPr="00B27EA0">
              <w:rPr>
                <w:sz w:val="21"/>
                <w:szCs w:val="21"/>
              </w:rPr>
              <w:t>Ministries of Finance; Planning and Development; International Cooperation</w:t>
            </w:r>
          </w:p>
          <w:p w:rsidR="00D522E2" w:rsidRPr="00B27EA0" w:rsidRDefault="00D522E2" w:rsidP="00673E59">
            <w:pPr>
              <w:cnfStyle w:val="000000000000" w:firstRow="0" w:lastRow="0" w:firstColumn="0" w:lastColumn="0" w:oddVBand="0" w:evenVBand="0" w:oddHBand="0" w:evenHBand="0" w:firstRowFirstColumn="0" w:firstRowLastColumn="0" w:lastRowFirstColumn="0" w:lastRowLastColumn="0"/>
              <w:rPr>
                <w:sz w:val="21"/>
                <w:szCs w:val="21"/>
              </w:rPr>
            </w:pPr>
          </w:p>
        </w:tc>
      </w:tr>
      <w:tr w:rsidR="001335E7" w:rsidRPr="006F33FC" w:rsidTr="00673E59">
        <w:trPr>
          <w:trHeight w:val="886"/>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Default="001335E7" w:rsidP="00673E59">
            <w:pPr>
              <w:autoSpaceDE w:val="0"/>
              <w:autoSpaceDN w:val="0"/>
              <w:adjustRightInd w:val="0"/>
              <w:rPr>
                <w:rFonts w:cs="Arial"/>
                <w:bCs w:val="0"/>
                <w:sz w:val="20"/>
              </w:rPr>
            </w:pPr>
            <w:r>
              <w:rPr>
                <w:rFonts w:cs="Arial"/>
                <w:bCs w:val="0"/>
                <w:sz w:val="20"/>
              </w:rPr>
              <w:t xml:space="preserve">Indicator formula </w:t>
            </w:r>
          </w:p>
        </w:tc>
        <w:tc>
          <w:tcPr>
            <w:tcW w:w="3715" w:type="pct"/>
            <w:vAlign w:val="center"/>
          </w:tcPr>
          <w:p w:rsidR="00A715A9" w:rsidRPr="00B27EA0" w:rsidRDefault="00A715A9" w:rsidP="00A715A9">
            <w:pPr>
              <w:tabs>
                <w:tab w:val="left" w:pos="190"/>
              </w:tabs>
              <w:contextualSpacing/>
              <w:cnfStyle w:val="000000000000" w:firstRow="0" w:lastRow="0" w:firstColumn="0" w:lastColumn="0" w:oddVBand="0" w:evenVBand="0" w:oddHBand="0" w:evenHBand="0" w:firstRowFirstColumn="0" w:firstRowLastColumn="0" w:lastRowFirstColumn="0" w:lastRowLastColumn="0"/>
              <w:rPr>
                <w:sz w:val="21"/>
                <w:szCs w:val="21"/>
              </w:rPr>
            </w:pPr>
            <w:r w:rsidRPr="00B27EA0">
              <w:rPr>
                <w:sz w:val="21"/>
                <w:szCs w:val="21"/>
              </w:rPr>
              <w:t>This indicator is calculated using the sum of ODA, and where available OOF, flows from all donors to developing countries in support of national disaster risk reduction actions.  Data are compiled by the OECD DAC from returns submitted by its member countries and other aid providers, data can be disaggregated by provider and recipient, and are usually reported annually and expressed in US dollars at the average annual exchange rate.</w:t>
            </w:r>
          </w:p>
        </w:tc>
      </w:tr>
      <w:tr w:rsidR="001335E7" w:rsidRPr="006F33FC" w:rsidTr="00673E59">
        <w:trPr>
          <w:trHeight w:val="886"/>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Default="001335E7" w:rsidP="00673E59">
            <w:pPr>
              <w:autoSpaceDE w:val="0"/>
              <w:autoSpaceDN w:val="0"/>
              <w:adjustRightInd w:val="0"/>
              <w:rPr>
                <w:rFonts w:cs="Arial"/>
                <w:bCs w:val="0"/>
                <w:sz w:val="20"/>
              </w:rPr>
            </w:pPr>
            <w:r>
              <w:rPr>
                <w:rFonts w:cs="Arial"/>
                <w:bCs w:val="0"/>
                <w:sz w:val="20"/>
              </w:rPr>
              <w:t>Indicator Components</w:t>
            </w:r>
          </w:p>
        </w:tc>
        <w:tc>
          <w:tcPr>
            <w:tcW w:w="3715" w:type="pct"/>
            <w:vAlign w:val="center"/>
          </w:tcPr>
          <w:p w:rsidR="00335C8E" w:rsidRPr="00B27EA0" w:rsidRDefault="00335C8E" w:rsidP="00673E59">
            <w:pPr>
              <w:contextualSpacing/>
              <w:cnfStyle w:val="000000000000" w:firstRow="0" w:lastRow="0" w:firstColumn="0" w:lastColumn="0" w:oddVBand="0" w:evenVBand="0" w:oddHBand="0" w:evenHBand="0" w:firstRowFirstColumn="0" w:firstRowLastColumn="0" w:lastRowFirstColumn="0" w:lastRowLastColumn="0"/>
              <w:rPr>
                <w:sz w:val="21"/>
                <w:szCs w:val="21"/>
              </w:rPr>
            </w:pPr>
            <w:r w:rsidRPr="00B27EA0">
              <w:rPr>
                <w:sz w:val="21"/>
                <w:szCs w:val="21"/>
              </w:rPr>
              <w:t xml:space="preserve">These indicators can be classified to the above mentioned categories as follows; </w:t>
            </w:r>
          </w:p>
          <w:p w:rsidR="00F8690C" w:rsidRPr="00B27EA0" w:rsidRDefault="00F8690C" w:rsidP="00673E59">
            <w:pPr>
              <w:contextualSpacing/>
              <w:cnfStyle w:val="000000000000" w:firstRow="0" w:lastRow="0" w:firstColumn="0" w:lastColumn="0" w:oddVBand="0" w:evenVBand="0" w:oddHBand="0" w:evenHBand="0" w:firstRowFirstColumn="0" w:firstRowLastColumn="0" w:lastRowFirstColumn="0" w:lastRowLastColumn="0"/>
              <w:rPr>
                <w:sz w:val="21"/>
                <w:szCs w:val="21"/>
              </w:rPr>
            </w:pPr>
          </w:p>
          <w:p w:rsidR="00335C8E" w:rsidRPr="00B27EA0" w:rsidRDefault="00335C8E" w:rsidP="00335C8E">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sz w:val="21"/>
                <w:szCs w:val="21"/>
              </w:rPr>
            </w:pPr>
            <w:r w:rsidRPr="00B27EA0">
              <w:rPr>
                <w:sz w:val="21"/>
                <w:szCs w:val="21"/>
              </w:rPr>
              <w:t>Financial Resources: includes indicators F-1, F-2, F-3, F-4 and F-6 which aim to measure different types and flows, in support of national actions for disaster risk reduction in developing countries.</w:t>
            </w:r>
          </w:p>
          <w:p w:rsidR="00335C8E" w:rsidRPr="00B27EA0" w:rsidRDefault="00335C8E" w:rsidP="00335C8E">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sz w:val="21"/>
                <w:szCs w:val="21"/>
              </w:rPr>
            </w:pPr>
            <w:r w:rsidRPr="00B27EA0">
              <w:rPr>
                <w:sz w:val="21"/>
                <w:szCs w:val="21"/>
              </w:rPr>
              <w:t xml:space="preserve">Technology Development and Transfer: includes indicators F-4 and F-5 which aim to measure respectively flows and trends in activity, in support of the transfer and exchange of science, technology and innovation for disaster risk reduction for developing countries. </w:t>
            </w:r>
          </w:p>
          <w:p w:rsidR="001335E7" w:rsidRPr="00B27EA0" w:rsidRDefault="00335C8E" w:rsidP="00335C8E">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sz w:val="21"/>
                <w:szCs w:val="21"/>
              </w:rPr>
            </w:pPr>
            <w:r w:rsidRPr="00B27EA0">
              <w:rPr>
                <w:sz w:val="21"/>
                <w:szCs w:val="21"/>
              </w:rPr>
              <w:t>Capacity Building: includes indicators F-6, F-7 and F-8 which aim to measure flows and trends in activity, in support of disaster risk reduction-related capacity, including statistical capacity, for developing countries.</w:t>
            </w:r>
          </w:p>
        </w:tc>
      </w:tr>
      <w:tr w:rsidR="001335E7" w:rsidRPr="006F33FC" w:rsidTr="00673E59">
        <w:trPr>
          <w:trHeight w:val="886"/>
        </w:trPr>
        <w:tc>
          <w:tcPr>
            <w:cnfStyle w:val="001000000000" w:firstRow="0" w:lastRow="0" w:firstColumn="1" w:lastColumn="0" w:oddVBand="0" w:evenVBand="0" w:oddHBand="0" w:evenHBand="0" w:firstRowFirstColumn="0" w:firstRowLastColumn="0" w:lastRowFirstColumn="0" w:lastRowLastColumn="0"/>
            <w:tcW w:w="1285" w:type="pct"/>
            <w:vAlign w:val="center"/>
          </w:tcPr>
          <w:p w:rsidR="001335E7" w:rsidRDefault="001335E7" w:rsidP="00673E59">
            <w:pPr>
              <w:autoSpaceDE w:val="0"/>
              <w:autoSpaceDN w:val="0"/>
              <w:adjustRightInd w:val="0"/>
              <w:rPr>
                <w:rFonts w:cs="Arial"/>
                <w:bCs w:val="0"/>
                <w:sz w:val="20"/>
              </w:rPr>
            </w:pPr>
            <w:r w:rsidRPr="00747AB9">
              <w:rPr>
                <w:sz w:val="20"/>
              </w:rPr>
              <w:t>Interpretation considerations</w:t>
            </w:r>
          </w:p>
        </w:tc>
        <w:tc>
          <w:tcPr>
            <w:tcW w:w="3715" w:type="pct"/>
            <w:vAlign w:val="center"/>
          </w:tcPr>
          <w:p w:rsidR="001335E7" w:rsidRPr="00B27EA0" w:rsidRDefault="00791E19" w:rsidP="00673E59">
            <w:pPr>
              <w:contextualSpacing/>
              <w:cnfStyle w:val="000000000000" w:firstRow="0" w:lastRow="0" w:firstColumn="0" w:lastColumn="0" w:oddVBand="0" w:evenVBand="0" w:oddHBand="0" w:evenHBand="0" w:firstRowFirstColumn="0" w:firstRowLastColumn="0" w:lastRowFirstColumn="0" w:lastRowLastColumn="0"/>
              <w:rPr>
                <w:sz w:val="21"/>
                <w:szCs w:val="21"/>
              </w:rPr>
            </w:pPr>
            <w:r w:rsidRPr="00B27EA0">
              <w:rPr>
                <w:sz w:val="21"/>
                <w:szCs w:val="21"/>
              </w:rPr>
              <w:t>Determination what to include in reporting. It could include all measures to reduce risks of emergencies and disasters across the spectrum of preve</w:t>
            </w:r>
            <w:r w:rsidR="00980FB1" w:rsidRPr="00B27EA0">
              <w:rPr>
                <w:sz w:val="21"/>
                <w:szCs w:val="21"/>
              </w:rPr>
              <w:t>n</w:t>
            </w:r>
            <w:r w:rsidRPr="00B27EA0">
              <w:rPr>
                <w:sz w:val="21"/>
                <w:szCs w:val="21"/>
              </w:rPr>
              <w:t>tion preparedness, response and recovery for all types of hazards.</w:t>
            </w:r>
            <w:r w:rsidR="00903B1A" w:rsidRPr="00B27EA0">
              <w:rPr>
                <w:sz w:val="21"/>
                <w:szCs w:val="21"/>
              </w:rPr>
              <w:t xml:space="preserve"> In this respect  customisable indicators could be considered.</w:t>
            </w:r>
          </w:p>
        </w:tc>
      </w:tr>
    </w:tbl>
    <w:p w:rsidR="00ED667A" w:rsidRDefault="00ED667A" w:rsidP="00ED667A">
      <w:pPr>
        <w:spacing w:after="0" w:line="360" w:lineRule="auto"/>
        <w:ind w:left="66"/>
      </w:pPr>
    </w:p>
    <w:p w:rsidR="00D522E2" w:rsidRPr="006025B8" w:rsidRDefault="00D522E2" w:rsidP="00D522E2">
      <w:pPr>
        <w:pStyle w:val="ListParagraph"/>
        <w:numPr>
          <w:ilvl w:val="0"/>
          <w:numId w:val="1"/>
        </w:numPr>
        <w:ind w:left="284" w:hanging="284"/>
        <w:rPr>
          <w:b/>
        </w:rPr>
      </w:pPr>
      <w:r w:rsidRPr="006025B8">
        <w:rPr>
          <w:b/>
        </w:rPr>
        <w:t>Reporting</w:t>
      </w:r>
    </w:p>
    <w:p w:rsidR="00D522E2" w:rsidRPr="006025B8" w:rsidRDefault="00D522E2" w:rsidP="00D522E2">
      <w:pPr>
        <w:spacing w:after="0" w:line="240" w:lineRule="auto"/>
        <w:rPr>
          <w:rFonts w:cs="Arial"/>
        </w:rPr>
      </w:pPr>
      <w:r w:rsidRPr="006025B8">
        <w:rPr>
          <w:rFonts w:cs="Arial"/>
        </w:rPr>
        <w:t xml:space="preserve">This guidance notes has outlined the key role that Ministries of Health have in providing data to support reporting against Sendai Framework Target </w:t>
      </w:r>
      <w:r w:rsidR="009A36DB">
        <w:rPr>
          <w:rFonts w:cs="Arial"/>
        </w:rPr>
        <w:t>F</w:t>
      </w:r>
      <w:r w:rsidRPr="006025B8">
        <w:rPr>
          <w:rFonts w:cs="Arial"/>
        </w:rPr>
        <w:t xml:space="preserve">.  </w:t>
      </w:r>
    </w:p>
    <w:p w:rsidR="00D522E2" w:rsidRPr="006025B8" w:rsidRDefault="00D522E2" w:rsidP="00D522E2">
      <w:pPr>
        <w:spacing w:after="0" w:line="240" w:lineRule="auto"/>
        <w:rPr>
          <w:rFonts w:cs="Arial"/>
        </w:rPr>
      </w:pPr>
    </w:p>
    <w:p w:rsidR="00D522E2" w:rsidRPr="006025B8" w:rsidRDefault="00D522E2" w:rsidP="00A44177">
      <w:pPr>
        <w:spacing w:after="0" w:line="240" w:lineRule="auto"/>
        <w:rPr>
          <w:rFonts w:cs="Arial"/>
        </w:rPr>
      </w:pPr>
      <w:r w:rsidRPr="006025B8">
        <w:rPr>
          <w:rFonts w:cs="Arial"/>
        </w:rPr>
        <w:t xml:space="preserve">Each country’s Sendai Framework Monitoring National Focal Point has responsibility for submitting national reports for the Sendai Framework. UNISDR developed a web based tool to support Member States in reporting against the indicators.  The Sendai Framework Monitor - </w:t>
      </w:r>
      <w:hyperlink r:id="rId9" w:history="1">
        <w:r w:rsidRPr="006025B8">
          <w:rPr>
            <w:rStyle w:val="Hyperlink"/>
            <w:rFonts w:cs="Arial"/>
            <w:color w:val="auto"/>
          </w:rPr>
          <w:t>https://sendaimonitor.unisdr.org/</w:t>
        </w:r>
      </w:hyperlink>
      <w:r w:rsidRPr="006025B8">
        <w:rPr>
          <w:rFonts w:cs="Arial"/>
        </w:rPr>
        <w:t xml:space="preserve"> - not only functions as a reporting tool but also functions as a management tool to help countries develop disaster risk reduction strategies, make risk-informed policy decisions and allocate resources to </w:t>
      </w:r>
      <w:r w:rsidR="00A44177">
        <w:rPr>
          <w:rFonts w:cs="Arial"/>
        </w:rPr>
        <w:t xml:space="preserve">manage </w:t>
      </w:r>
      <w:r w:rsidRPr="006025B8">
        <w:rPr>
          <w:rFonts w:cs="Arial"/>
        </w:rPr>
        <w:t>risks.</w:t>
      </w:r>
    </w:p>
    <w:p w:rsidR="00D522E2" w:rsidRPr="006025B8" w:rsidRDefault="00D522E2" w:rsidP="00D522E2">
      <w:pPr>
        <w:spacing w:after="0" w:line="240" w:lineRule="auto"/>
        <w:rPr>
          <w:rFonts w:cs="Arial"/>
        </w:rPr>
      </w:pPr>
    </w:p>
    <w:p w:rsidR="00D522E2" w:rsidRPr="006025B8" w:rsidRDefault="00D522E2" w:rsidP="00791E19">
      <w:pPr>
        <w:pStyle w:val="ListParagraph"/>
        <w:spacing w:after="0" w:line="240" w:lineRule="auto"/>
        <w:ind w:left="0"/>
        <w:rPr>
          <w:rFonts w:cs="Arial"/>
          <w:b/>
        </w:rPr>
      </w:pPr>
      <w:r w:rsidRPr="006025B8">
        <w:rPr>
          <w:rFonts w:cs="Arial"/>
          <w:shd w:val="clear" w:color="auto" w:fill="FFFFFF"/>
        </w:rPr>
        <w:t>As of March 1, 2018, Member States have been reporting against the indicators for measuring the global targets of the Sendai Framework, and disaster risk reduction-related indicators of the SDGs, using the online Sendai Framework Monitor.</w:t>
      </w:r>
      <w:r w:rsidRPr="006025B8">
        <w:rPr>
          <w:rFonts w:cs="Arial"/>
        </w:rPr>
        <w:t xml:space="preserve">  It is important that the relevant officials in the Ministries of Health are either linked to the National Focal </w:t>
      </w:r>
      <w:r w:rsidRPr="006025B8">
        <w:rPr>
          <w:rFonts w:cs="Arial"/>
          <w:iCs/>
        </w:rPr>
        <w:t>point or is granted access to the Sendai framework Monitor to input health data as outlined in the Guidance Note above</w:t>
      </w:r>
    </w:p>
    <w:p w:rsidR="00D522E2" w:rsidRDefault="00D522E2" w:rsidP="00ED667A">
      <w:pPr>
        <w:spacing w:after="0" w:line="360" w:lineRule="auto"/>
        <w:ind w:left="66"/>
      </w:pPr>
    </w:p>
    <w:sectPr w:rsidR="00D522E2" w:rsidSect="007D658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D62" w:rsidRDefault="00422D62" w:rsidP="00C97955">
      <w:pPr>
        <w:spacing w:after="0" w:line="240" w:lineRule="auto"/>
      </w:pPr>
      <w:r>
        <w:separator/>
      </w:r>
    </w:p>
  </w:endnote>
  <w:endnote w:type="continuationSeparator" w:id="0">
    <w:p w:rsidR="00422D62" w:rsidRDefault="00422D62" w:rsidP="00C97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C79" w:rsidRDefault="00D82C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6A6A6" w:themeColor="background1" w:themeShade="A6"/>
        <w:sz w:val="16"/>
        <w:szCs w:val="16"/>
      </w:rPr>
      <w:id w:val="-1634778286"/>
      <w:docPartObj>
        <w:docPartGallery w:val="Page Numbers (Bottom of Page)"/>
        <w:docPartUnique/>
      </w:docPartObj>
    </w:sdtPr>
    <w:sdtEndPr/>
    <w:sdtContent>
      <w:sdt>
        <w:sdtPr>
          <w:rPr>
            <w:color w:val="A6A6A6" w:themeColor="background1" w:themeShade="A6"/>
            <w:sz w:val="16"/>
            <w:szCs w:val="16"/>
          </w:rPr>
          <w:id w:val="860082579"/>
          <w:docPartObj>
            <w:docPartGallery w:val="Page Numbers (Top of Page)"/>
            <w:docPartUnique/>
          </w:docPartObj>
        </w:sdtPr>
        <w:sdtEndPr/>
        <w:sdtContent>
          <w:p w:rsidR="00D522E2" w:rsidRPr="00D522E2" w:rsidRDefault="00D522E2">
            <w:pPr>
              <w:pStyle w:val="Footer"/>
              <w:jc w:val="right"/>
              <w:rPr>
                <w:color w:val="A6A6A6" w:themeColor="background1" w:themeShade="A6"/>
                <w:sz w:val="16"/>
                <w:szCs w:val="16"/>
              </w:rPr>
            </w:pPr>
            <w:r w:rsidRPr="00D522E2">
              <w:rPr>
                <w:color w:val="A6A6A6" w:themeColor="background1" w:themeShade="A6"/>
                <w:sz w:val="16"/>
                <w:szCs w:val="16"/>
              </w:rPr>
              <w:t xml:space="preserve">Page </w:t>
            </w:r>
            <w:r w:rsidR="007D6588" w:rsidRPr="00D522E2">
              <w:rPr>
                <w:bCs/>
                <w:color w:val="A6A6A6" w:themeColor="background1" w:themeShade="A6"/>
                <w:sz w:val="16"/>
                <w:szCs w:val="16"/>
              </w:rPr>
              <w:fldChar w:fldCharType="begin"/>
            </w:r>
            <w:r w:rsidRPr="00D522E2">
              <w:rPr>
                <w:bCs/>
                <w:color w:val="A6A6A6" w:themeColor="background1" w:themeShade="A6"/>
                <w:sz w:val="16"/>
                <w:szCs w:val="16"/>
              </w:rPr>
              <w:instrText xml:space="preserve"> PAGE </w:instrText>
            </w:r>
            <w:r w:rsidR="007D6588" w:rsidRPr="00D522E2">
              <w:rPr>
                <w:bCs/>
                <w:color w:val="A6A6A6" w:themeColor="background1" w:themeShade="A6"/>
                <w:sz w:val="16"/>
                <w:szCs w:val="16"/>
              </w:rPr>
              <w:fldChar w:fldCharType="separate"/>
            </w:r>
            <w:r w:rsidR="00B27EA0">
              <w:rPr>
                <w:bCs/>
                <w:noProof/>
                <w:color w:val="A6A6A6" w:themeColor="background1" w:themeShade="A6"/>
                <w:sz w:val="16"/>
                <w:szCs w:val="16"/>
              </w:rPr>
              <w:t>4</w:t>
            </w:r>
            <w:r w:rsidR="007D6588" w:rsidRPr="00D522E2">
              <w:rPr>
                <w:bCs/>
                <w:color w:val="A6A6A6" w:themeColor="background1" w:themeShade="A6"/>
                <w:sz w:val="16"/>
                <w:szCs w:val="16"/>
              </w:rPr>
              <w:fldChar w:fldCharType="end"/>
            </w:r>
            <w:r w:rsidRPr="00D522E2">
              <w:rPr>
                <w:color w:val="A6A6A6" w:themeColor="background1" w:themeShade="A6"/>
                <w:sz w:val="16"/>
                <w:szCs w:val="16"/>
              </w:rPr>
              <w:t xml:space="preserve"> of </w:t>
            </w:r>
            <w:r w:rsidR="007D6588" w:rsidRPr="00D522E2">
              <w:rPr>
                <w:bCs/>
                <w:color w:val="A6A6A6" w:themeColor="background1" w:themeShade="A6"/>
                <w:sz w:val="16"/>
                <w:szCs w:val="16"/>
              </w:rPr>
              <w:fldChar w:fldCharType="begin"/>
            </w:r>
            <w:r w:rsidRPr="00D522E2">
              <w:rPr>
                <w:bCs/>
                <w:color w:val="A6A6A6" w:themeColor="background1" w:themeShade="A6"/>
                <w:sz w:val="16"/>
                <w:szCs w:val="16"/>
              </w:rPr>
              <w:instrText xml:space="preserve"> NUMPAGES  </w:instrText>
            </w:r>
            <w:r w:rsidR="007D6588" w:rsidRPr="00D522E2">
              <w:rPr>
                <w:bCs/>
                <w:color w:val="A6A6A6" w:themeColor="background1" w:themeShade="A6"/>
                <w:sz w:val="16"/>
                <w:szCs w:val="16"/>
              </w:rPr>
              <w:fldChar w:fldCharType="separate"/>
            </w:r>
            <w:r w:rsidR="00B27EA0">
              <w:rPr>
                <w:bCs/>
                <w:noProof/>
                <w:color w:val="A6A6A6" w:themeColor="background1" w:themeShade="A6"/>
                <w:sz w:val="16"/>
                <w:szCs w:val="16"/>
              </w:rPr>
              <w:t>4</w:t>
            </w:r>
            <w:r w:rsidR="007D6588" w:rsidRPr="00D522E2">
              <w:rPr>
                <w:bCs/>
                <w:color w:val="A6A6A6" w:themeColor="background1" w:themeShade="A6"/>
                <w:sz w:val="16"/>
                <w:szCs w:val="16"/>
              </w:rPr>
              <w:fldChar w:fldCharType="end"/>
            </w:r>
          </w:p>
        </w:sdtContent>
      </w:sdt>
    </w:sdtContent>
  </w:sdt>
  <w:p w:rsidR="00D522E2" w:rsidRPr="009706AD" w:rsidRDefault="00A44177">
    <w:pPr>
      <w:pStyle w:val="Footer"/>
      <w:rPr>
        <w:i/>
        <w:iCs/>
      </w:rPr>
    </w:pPr>
    <w:r w:rsidRPr="009706AD">
      <w:rPr>
        <w:i/>
        <w:iCs/>
      </w:rPr>
      <w:fldChar w:fldCharType="begin"/>
    </w:r>
    <w:r w:rsidRPr="009706AD">
      <w:rPr>
        <w:i/>
        <w:iCs/>
      </w:rPr>
      <w:instrText xml:space="preserve"> FILENAME  \* Lower  \* MERGEFORMAT </w:instrText>
    </w:r>
    <w:r w:rsidRPr="009706AD">
      <w:rPr>
        <w:i/>
        <w:iCs/>
      </w:rPr>
      <w:fldChar w:fldCharType="separate"/>
    </w:r>
    <w:r w:rsidR="00D82C79">
      <w:rPr>
        <w:i/>
        <w:iCs/>
        <w:noProof/>
      </w:rPr>
      <w:t>181116 target f sendai reporting guidance notes draft clean.docx</w:t>
    </w:r>
    <w:r w:rsidRPr="009706AD">
      <w:rPr>
        <w:i/>
        <w:i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C79" w:rsidRDefault="00D82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D62" w:rsidRDefault="00422D62" w:rsidP="00C97955">
      <w:pPr>
        <w:spacing w:after="0" w:line="240" w:lineRule="auto"/>
      </w:pPr>
      <w:r>
        <w:separator/>
      </w:r>
    </w:p>
  </w:footnote>
  <w:footnote w:type="continuationSeparator" w:id="0">
    <w:p w:rsidR="00422D62" w:rsidRDefault="00422D62" w:rsidP="00C97955">
      <w:pPr>
        <w:spacing w:after="0" w:line="240" w:lineRule="auto"/>
      </w:pPr>
      <w:r>
        <w:continuationSeparator/>
      </w:r>
    </w:p>
  </w:footnote>
  <w:footnote w:id="1">
    <w:p w:rsidR="00C97955" w:rsidRDefault="00C97955">
      <w:pPr>
        <w:pStyle w:val="FootnoteText"/>
      </w:pPr>
      <w:r>
        <w:rPr>
          <w:rStyle w:val="FootnoteReference"/>
        </w:rPr>
        <w:footnoteRef/>
      </w:r>
      <w:r>
        <w:t xml:space="preserve"> </w:t>
      </w:r>
      <w:hyperlink r:id="rId1" w:history="1">
        <w:r w:rsidRPr="008A453F">
          <w:rPr>
            <w:rStyle w:val="Hyperlink"/>
          </w:rPr>
          <w:t>https://data.oecd.org/oda/net-oda.htm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C79" w:rsidRDefault="00D82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10" w:rsidRPr="00BC5EB6" w:rsidRDefault="00422D62" w:rsidP="00634D10">
    <w:pPr>
      <w:pStyle w:val="Header"/>
      <w:rPr>
        <w:i/>
        <w:iCs/>
      </w:rPr>
    </w:pPr>
    <w:sdt>
      <w:sdtPr>
        <w:rPr>
          <w:i/>
          <w:iCs/>
        </w:rPr>
        <w:id w:val="371809371"/>
        <w:docPartObj>
          <w:docPartGallery w:val="Watermarks"/>
          <w:docPartUnique/>
        </w:docPartObj>
      </w:sdtPr>
      <w:sdtEndPr/>
      <w:sdtContent>
        <w:r>
          <w:rPr>
            <w:i/>
            <w:iCs/>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34D10" w:rsidRPr="00BC5EB6">
      <w:rPr>
        <w:i/>
        <w:iCs/>
      </w:rPr>
      <w:t>Draft for review. Please do not quote or distribute further – thank you. WHO</w:t>
    </w:r>
  </w:p>
  <w:p w:rsidR="00D522E2" w:rsidRDefault="00D522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C79" w:rsidRDefault="00D82C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BB3"/>
    <w:multiLevelType w:val="multilevel"/>
    <w:tmpl w:val="55307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6F60008"/>
    <w:multiLevelType w:val="multilevel"/>
    <w:tmpl w:val="B38EF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081744"/>
    <w:multiLevelType w:val="multilevel"/>
    <w:tmpl w:val="FD3EC9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2DE57DB"/>
    <w:multiLevelType w:val="hybridMultilevel"/>
    <w:tmpl w:val="69BCD578"/>
    <w:lvl w:ilvl="0" w:tplc="069C0E8E">
      <w:start w:val="5"/>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0B1974"/>
    <w:multiLevelType w:val="hybridMultilevel"/>
    <w:tmpl w:val="6A66444C"/>
    <w:lvl w:ilvl="0" w:tplc="85F818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217274"/>
    <w:multiLevelType w:val="hybridMultilevel"/>
    <w:tmpl w:val="50900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B91F66"/>
    <w:multiLevelType w:val="multilevel"/>
    <w:tmpl w:val="68B09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A203C4A"/>
    <w:multiLevelType w:val="multilevel"/>
    <w:tmpl w:val="4080BF2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nsid w:val="2CE168C5"/>
    <w:multiLevelType w:val="multilevel"/>
    <w:tmpl w:val="4268F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FDC3E9E"/>
    <w:multiLevelType w:val="hybridMultilevel"/>
    <w:tmpl w:val="FD347B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921002"/>
    <w:multiLevelType w:val="hybridMultilevel"/>
    <w:tmpl w:val="50900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1069CA"/>
    <w:multiLevelType w:val="hybridMultilevel"/>
    <w:tmpl w:val="50900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5A0BDB"/>
    <w:multiLevelType w:val="hybridMultilevel"/>
    <w:tmpl w:val="1A20B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C16ADF"/>
    <w:multiLevelType w:val="multilevel"/>
    <w:tmpl w:val="76E6D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84B52F2"/>
    <w:multiLevelType w:val="hybridMultilevel"/>
    <w:tmpl w:val="6304F354"/>
    <w:lvl w:ilvl="0" w:tplc="009C9E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167810"/>
    <w:multiLevelType w:val="multilevel"/>
    <w:tmpl w:val="4080BF2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nsid w:val="594D1DC8"/>
    <w:multiLevelType w:val="hybridMultilevel"/>
    <w:tmpl w:val="7E2E41D0"/>
    <w:lvl w:ilvl="0" w:tplc="A544B05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024DB9"/>
    <w:multiLevelType w:val="multilevel"/>
    <w:tmpl w:val="E93E82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nsid w:val="6A482765"/>
    <w:multiLevelType w:val="hybridMultilevel"/>
    <w:tmpl w:val="C4186A50"/>
    <w:lvl w:ilvl="0" w:tplc="069C0E8E">
      <w:start w:val="5"/>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
  </w:num>
  <w:num w:numId="2">
    <w:abstractNumId w:val="18"/>
  </w:num>
  <w:num w:numId="3">
    <w:abstractNumId w:val="1"/>
  </w:num>
  <w:num w:numId="4">
    <w:abstractNumId w:val="3"/>
  </w:num>
  <w:num w:numId="5">
    <w:abstractNumId w:val="9"/>
  </w:num>
  <w:num w:numId="6">
    <w:abstractNumId w:val="6"/>
  </w:num>
  <w:num w:numId="7">
    <w:abstractNumId w:val="8"/>
  </w:num>
  <w:num w:numId="8">
    <w:abstractNumId w:val="17"/>
  </w:num>
  <w:num w:numId="9">
    <w:abstractNumId w:val="0"/>
  </w:num>
  <w:num w:numId="10">
    <w:abstractNumId w:val="13"/>
  </w:num>
  <w:num w:numId="11">
    <w:abstractNumId w:val="14"/>
  </w:num>
  <w:num w:numId="12">
    <w:abstractNumId w:val="11"/>
  </w:num>
  <w:num w:numId="13">
    <w:abstractNumId w:val="10"/>
  </w:num>
  <w:num w:numId="14">
    <w:abstractNumId w:val="5"/>
  </w:num>
  <w:num w:numId="15">
    <w:abstractNumId w:val="16"/>
  </w:num>
  <w:num w:numId="16">
    <w:abstractNumId w:val="12"/>
  </w:num>
  <w:num w:numId="17">
    <w:abstractNumId w:val="7"/>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75"/>
    <w:rsid w:val="000070B6"/>
    <w:rsid w:val="000521E1"/>
    <w:rsid w:val="00077F91"/>
    <w:rsid w:val="000F0502"/>
    <w:rsid w:val="00104059"/>
    <w:rsid w:val="001335E7"/>
    <w:rsid w:val="002068E1"/>
    <w:rsid w:val="002540D9"/>
    <w:rsid w:val="0026001C"/>
    <w:rsid w:val="00260245"/>
    <w:rsid w:val="0033521D"/>
    <w:rsid w:val="00335C8E"/>
    <w:rsid w:val="00354B93"/>
    <w:rsid w:val="00375E2D"/>
    <w:rsid w:val="00396073"/>
    <w:rsid w:val="003D1C3F"/>
    <w:rsid w:val="00411A1B"/>
    <w:rsid w:val="00422D62"/>
    <w:rsid w:val="00560C66"/>
    <w:rsid w:val="00592FE6"/>
    <w:rsid w:val="005A101A"/>
    <w:rsid w:val="005D54AA"/>
    <w:rsid w:val="00634D10"/>
    <w:rsid w:val="00636E09"/>
    <w:rsid w:val="00675563"/>
    <w:rsid w:val="0069259F"/>
    <w:rsid w:val="00692AC6"/>
    <w:rsid w:val="006F33FC"/>
    <w:rsid w:val="00791E19"/>
    <w:rsid w:val="007B7DFE"/>
    <w:rsid w:val="007D6588"/>
    <w:rsid w:val="00830026"/>
    <w:rsid w:val="00867FDC"/>
    <w:rsid w:val="008B171B"/>
    <w:rsid w:val="00903B1A"/>
    <w:rsid w:val="00925DAD"/>
    <w:rsid w:val="009706AD"/>
    <w:rsid w:val="00980FB1"/>
    <w:rsid w:val="009A36DB"/>
    <w:rsid w:val="009F5446"/>
    <w:rsid w:val="00A44177"/>
    <w:rsid w:val="00A71372"/>
    <w:rsid w:val="00A715A9"/>
    <w:rsid w:val="00B153CC"/>
    <w:rsid w:val="00B27EA0"/>
    <w:rsid w:val="00BA6975"/>
    <w:rsid w:val="00BC24F7"/>
    <w:rsid w:val="00C961BF"/>
    <w:rsid w:val="00C97955"/>
    <w:rsid w:val="00CC5BF0"/>
    <w:rsid w:val="00D522E2"/>
    <w:rsid w:val="00D60A04"/>
    <w:rsid w:val="00D82C79"/>
    <w:rsid w:val="00E70D5D"/>
    <w:rsid w:val="00E86820"/>
    <w:rsid w:val="00E93108"/>
    <w:rsid w:val="00EA3CDA"/>
    <w:rsid w:val="00ED667A"/>
    <w:rsid w:val="00F869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975"/>
    <w:pPr>
      <w:ind w:left="720"/>
      <w:contextualSpacing/>
    </w:pPr>
  </w:style>
  <w:style w:type="table" w:styleId="TableGrid">
    <w:name w:val="Table Grid"/>
    <w:basedOn w:val="TableNormal"/>
    <w:uiPriority w:val="59"/>
    <w:rsid w:val="00BA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93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E9310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73"/>
    <w:rsid w:val="00E9310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6">
    <w:name w:val="Colorful List Accent 6"/>
    <w:basedOn w:val="TableNormal"/>
    <w:uiPriority w:val="72"/>
    <w:rsid w:val="00E9310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1">
    <w:name w:val="Colorful List Accent 1"/>
    <w:basedOn w:val="TableNormal"/>
    <w:uiPriority w:val="72"/>
    <w:rsid w:val="00354B9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Accent1">
    <w:name w:val="Medium Grid 3 Accent 1"/>
    <w:basedOn w:val="TableNormal"/>
    <w:uiPriority w:val="69"/>
    <w:rsid w:val="00354B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uiPriority w:val="99"/>
    <w:semiHidden/>
    <w:unhideWhenUsed/>
    <w:rsid w:val="007B7DFE"/>
    <w:rPr>
      <w:sz w:val="16"/>
      <w:szCs w:val="16"/>
    </w:rPr>
  </w:style>
  <w:style w:type="paragraph" w:styleId="CommentText">
    <w:name w:val="annotation text"/>
    <w:basedOn w:val="Normal"/>
    <w:link w:val="CommentTextChar"/>
    <w:uiPriority w:val="99"/>
    <w:semiHidden/>
    <w:unhideWhenUsed/>
    <w:rsid w:val="007B7DFE"/>
    <w:pPr>
      <w:spacing w:line="240" w:lineRule="auto"/>
    </w:pPr>
    <w:rPr>
      <w:sz w:val="20"/>
      <w:szCs w:val="20"/>
    </w:rPr>
  </w:style>
  <w:style w:type="character" w:customStyle="1" w:styleId="CommentTextChar">
    <w:name w:val="Comment Text Char"/>
    <w:basedOn w:val="DefaultParagraphFont"/>
    <w:link w:val="CommentText"/>
    <w:uiPriority w:val="99"/>
    <w:semiHidden/>
    <w:rsid w:val="007B7DFE"/>
    <w:rPr>
      <w:sz w:val="20"/>
      <w:szCs w:val="20"/>
    </w:rPr>
  </w:style>
  <w:style w:type="paragraph" w:styleId="CommentSubject">
    <w:name w:val="annotation subject"/>
    <w:basedOn w:val="CommentText"/>
    <w:next w:val="CommentText"/>
    <w:link w:val="CommentSubjectChar"/>
    <w:uiPriority w:val="99"/>
    <w:semiHidden/>
    <w:unhideWhenUsed/>
    <w:rsid w:val="007B7DFE"/>
    <w:rPr>
      <w:b/>
      <w:bCs/>
    </w:rPr>
  </w:style>
  <w:style w:type="character" w:customStyle="1" w:styleId="CommentSubjectChar">
    <w:name w:val="Comment Subject Char"/>
    <w:basedOn w:val="CommentTextChar"/>
    <w:link w:val="CommentSubject"/>
    <w:uiPriority w:val="99"/>
    <w:semiHidden/>
    <w:rsid w:val="007B7DFE"/>
    <w:rPr>
      <w:b/>
      <w:bCs/>
      <w:sz w:val="20"/>
      <w:szCs w:val="20"/>
    </w:rPr>
  </w:style>
  <w:style w:type="paragraph" w:styleId="BalloonText">
    <w:name w:val="Balloon Text"/>
    <w:basedOn w:val="Normal"/>
    <w:link w:val="BalloonTextChar"/>
    <w:uiPriority w:val="99"/>
    <w:semiHidden/>
    <w:unhideWhenUsed/>
    <w:rsid w:val="007B7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DFE"/>
    <w:rPr>
      <w:rFonts w:ascii="Tahoma" w:hAnsi="Tahoma" w:cs="Tahoma"/>
      <w:sz w:val="16"/>
      <w:szCs w:val="16"/>
    </w:rPr>
  </w:style>
  <w:style w:type="paragraph" w:styleId="FootnoteText">
    <w:name w:val="footnote text"/>
    <w:basedOn w:val="Normal"/>
    <w:link w:val="FootnoteTextChar"/>
    <w:uiPriority w:val="99"/>
    <w:semiHidden/>
    <w:unhideWhenUsed/>
    <w:rsid w:val="00C979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955"/>
    <w:rPr>
      <w:sz w:val="20"/>
      <w:szCs w:val="20"/>
    </w:rPr>
  </w:style>
  <w:style w:type="character" w:styleId="FootnoteReference">
    <w:name w:val="footnote reference"/>
    <w:basedOn w:val="DefaultParagraphFont"/>
    <w:uiPriority w:val="99"/>
    <w:semiHidden/>
    <w:unhideWhenUsed/>
    <w:rsid w:val="00C97955"/>
    <w:rPr>
      <w:vertAlign w:val="superscript"/>
    </w:rPr>
  </w:style>
  <w:style w:type="character" w:styleId="Hyperlink">
    <w:name w:val="Hyperlink"/>
    <w:basedOn w:val="DefaultParagraphFont"/>
    <w:uiPriority w:val="99"/>
    <w:unhideWhenUsed/>
    <w:rsid w:val="00C97955"/>
    <w:rPr>
      <w:color w:val="0000FF" w:themeColor="hyperlink"/>
      <w:u w:val="single"/>
    </w:rPr>
  </w:style>
  <w:style w:type="paragraph" w:styleId="Header">
    <w:name w:val="header"/>
    <w:basedOn w:val="Normal"/>
    <w:link w:val="HeaderChar"/>
    <w:uiPriority w:val="99"/>
    <w:unhideWhenUsed/>
    <w:rsid w:val="00D52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2E2"/>
  </w:style>
  <w:style w:type="paragraph" w:styleId="Footer">
    <w:name w:val="footer"/>
    <w:basedOn w:val="Normal"/>
    <w:link w:val="FooterChar"/>
    <w:uiPriority w:val="99"/>
    <w:unhideWhenUsed/>
    <w:rsid w:val="00D52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2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975"/>
    <w:pPr>
      <w:ind w:left="720"/>
      <w:contextualSpacing/>
    </w:pPr>
  </w:style>
  <w:style w:type="table" w:styleId="TableGrid">
    <w:name w:val="Table Grid"/>
    <w:basedOn w:val="TableNormal"/>
    <w:uiPriority w:val="59"/>
    <w:rsid w:val="00BA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93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E9310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Grid-Accent1">
    <w:name w:val="Colorful Grid Accent 1"/>
    <w:basedOn w:val="TableNormal"/>
    <w:uiPriority w:val="73"/>
    <w:rsid w:val="00E9310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6">
    <w:name w:val="Colorful List Accent 6"/>
    <w:basedOn w:val="TableNormal"/>
    <w:uiPriority w:val="72"/>
    <w:rsid w:val="00E9310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1">
    <w:name w:val="Colorful List Accent 1"/>
    <w:basedOn w:val="TableNormal"/>
    <w:uiPriority w:val="72"/>
    <w:rsid w:val="00354B9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Accent1">
    <w:name w:val="Medium Grid 3 Accent 1"/>
    <w:basedOn w:val="TableNormal"/>
    <w:uiPriority w:val="69"/>
    <w:rsid w:val="00354B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uiPriority w:val="99"/>
    <w:semiHidden/>
    <w:unhideWhenUsed/>
    <w:rsid w:val="007B7DFE"/>
    <w:rPr>
      <w:sz w:val="16"/>
      <w:szCs w:val="16"/>
    </w:rPr>
  </w:style>
  <w:style w:type="paragraph" w:styleId="CommentText">
    <w:name w:val="annotation text"/>
    <w:basedOn w:val="Normal"/>
    <w:link w:val="CommentTextChar"/>
    <w:uiPriority w:val="99"/>
    <w:semiHidden/>
    <w:unhideWhenUsed/>
    <w:rsid w:val="007B7DFE"/>
    <w:pPr>
      <w:spacing w:line="240" w:lineRule="auto"/>
    </w:pPr>
    <w:rPr>
      <w:sz w:val="20"/>
      <w:szCs w:val="20"/>
    </w:rPr>
  </w:style>
  <w:style w:type="character" w:customStyle="1" w:styleId="CommentTextChar">
    <w:name w:val="Comment Text Char"/>
    <w:basedOn w:val="DefaultParagraphFont"/>
    <w:link w:val="CommentText"/>
    <w:uiPriority w:val="99"/>
    <w:semiHidden/>
    <w:rsid w:val="007B7DFE"/>
    <w:rPr>
      <w:sz w:val="20"/>
      <w:szCs w:val="20"/>
    </w:rPr>
  </w:style>
  <w:style w:type="paragraph" w:styleId="CommentSubject">
    <w:name w:val="annotation subject"/>
    <w:basedOn w:val="CommentText"/>
    <w:next w:val="CommentText"/>
    <w:link w:val="CommentSubjectChar"/>
    <w:uiPriority w:val="99"/>
    <w:semiHidden/>
    <w:unhideWhenUsed/>
    <w:rsid w:val="007B7DFE"/>
    <w:rPr>
      <w:b/>
      <w:bCs/>
    </w:rPr>
  </w:style>
  <w:style w:type="character" w:customStyle="1" w:styleId="CommentSubjectChar">
    <w:name w:val="Comment Subject Char"/>
    <w:basedOn w:val="CommentTextChar"/>
    <w:link w:val="CommentSubject"/>
    <w:uiPriority w:val="99"/>
    <w:semiHidden/>
    <w:rsid w:val="007B7DFE"/>
    <w:rPr>
      <w:b/>
      <w:bCs/>
      <w:sz w:val="20"/>
      <w:szCs w:val="20"/>
    </w:rPr>
  </w:style>
  <w:style w:type="paragraph" w:styleId="BalloonText">
    <w:name w:val="Balloon Text"/>
    <w:basedOn w:val="Normal"/>
    <w:link w:val="BalloonTextChar"/>
    <w:uiPriority w:val="99"/>
    <w:semiHidden/>
    <w:unhideWhenUsed/>
    <w:rsid w:val="007B7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DFE"/>
    <w:rPr>
      <w:rFonts w:ascii="Tahoma" w:hAnsi="Tahoma" w:cs="Tahoma"/>
      <w:sz w:val="16"/>
      <w:szCs w:val="16"/>
    </w:rPr>
  </w:style>
  <w:style w:type="paragraph" w:styleId="FootnoteText">
    <w:name w:val="footnote text"/>
    <w:basedOn w:val="Normal"/>
    <w:link w:val="FootnoteTextChar"/>
    <w:uiPriority w:val="99"/>
    <w:semiHidden/>
    <w:unhideWhenUsed/>
    <w:rsid w:val="00C979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955"/>
    <w:rPr>
      <w:sz w:val="20"/>
      <w:szCs w:val="20"/>
    </w:rPr>
  </w:style>
  <w:style w:type="character" w:styleId="FootnoteReference">
    <w:name w:val="footnote reference"/>
    <w:basedOn w:val="DefaultParagraphFont"/>
    <w:uiPriority w:val="99"/>
    <w:semiHidden/>
    <w:unhideWhenUsed/>
    <w:rsid w:val="00C97955"/>
    <w:rPr>
      <w:vertAlign w:val="superscript"/>
    </w:rPr>
  </w:style>
  <w:style w:type="character" w:styleId="Hyperlink">
    <w:name w:val="Hyperlink"/>
    <w:basedOn w:val="DefaultParagraphFont"/>
    <w:uiPriority w:val="99"/>
    <w:unhideWhenUsed/>
    <w:rsid w:val="00C97955"/>
    <w:rPr>
      <w:color w:val="0000FF" w:themeColor="hyperlink"/>
      <w:u w:val="single"/>
    </w:rPr>
  </w:style>
  <w:style w:type="paragraph" w:styleId="Header">
    <w:name w:val="header"/>
    <w:basedOn w:val="Normal"/>
    <w:link w:val="HeaderChar"/>
    <w:uiPriority w:val="99"/>
    <w:unhideWhenUsed/>
    <w:rsid w:val="00D52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2E2"/>
  </w:style>
  <w:style w:type="paragraph" w:styleId="Footer">
    <w:name w:val="footer"/>
    <w:basedOn w:val="Normal"/>
    <w:link w:val="FooterChar"/>
    <w:uiPriority w:val="99"/>
    <w:unhideWhenUsed/>
    <w:rsid w:val="00D52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endaimonitor.unisdr.or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data.oecd.org/oda/net-od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8D009DD-B758-458D-A5ED-95734DE8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Rohaida Ismail</dc:creator>
  <cp:lastModifiedBy>Jonathan Abrahams</cp:lastModifiedBy>
  <cp:revision>8</cp:revision>
  <cp:lastPrinted>2018-11-07T15:50:00Z</cp:lastPrinted>
  <dcterms:created xsi:type="dcterms:W3CDTF">2018-11-17T13:52:00Z</dcterms:created>
  <dcterms:modified xsi:type="dcterms:W3CDTF">2018-11-18T15:17:00Z</dcterms:modified>
</cp:coreProperties>
</file>