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E6" w:rsidRDefault="009D51E6" w:rsidP="00685407">
      <w:pPr>
        <w:jc w:val="center"/>
        <w:rPr>
          <w:b/>
          <w:bCs/>
          <w:color w:val="1F497D"/>
        </w:rPr>
      </w:pPr>
      <w:bookmarkStart w:id="0" w:name="_GoBack"/>
      <w:bookmarkEnd w:id="0"/>
      <w:r>
        <w:rPr>
          <w:b/>
          <w:bCs/>
          <w:color w:val="1F497D"/>
        </w:rPr>
        <w:t xml:space="preserve">WHO Technical Guidance Notes on Sendai Framework reporting </w:t>
      </w:r>
    </w:p>
    <w:p w:rsidR="009D51E6" w:rsidRDefault="009D51E6" w:rsidP="00685407">
      <w:pPr>
        <w:jc w:val="center"/>
        <w:rPr>
          <w:b/>
        </w:rPr>
      </w:pPr>
      <w:r>
        <w:rPr>
          <w:b/>
          <w:bCs/>
          <w:color w:val="1F497D"/>
        </w:rPr>
        <w:t>for Ministries of Health</w:t>
      </w:r>
    </w:p>
    <w:p w:rsidR="009D51E6" w:rsidRDefault="009D51E6" w:rsidP="00ED4754">
      <w:pPr>
        <w:rPr>
          <w:b/>
        </w:rPr>
      </w:pPr>
    </w:p>
    <w:p w:rsidR="00ED4754" w:rsidRDefault="00ED4754" w:rsidP="00ED4754">
      <w:pPr>
        <w:rPr>
          <w:b/>
        </w:rPr>
      </w:pPr>
      <w:r>
        <w:rPr>
          <w:b/>
        </w:rPr>
        <w:t>OVERVIEW</w:t>
      </w:r>
    </w:p>
    <w:p w:rsidR="00ED4754" w:rsidRDefault="00ED4754" w:rsidP="00ED4754">
      <w:pPr>
        <w:rPr>
          <w:b/>
        </w:rPr>
      </w:pPr>
    </w:p>
    <w:p w:rsidR="00ED4754" w:rsidRDefault="00764AA7" w:rsidP="00764AA7">
      <w:pPr>
        <w:rPr>
          <w:b/>
        </w:rPr>
      </w:pPr>
      <w:r>
        <w:rPr>
          <w:b/>
        </w:rPr>
        <w:t>Policy context</w:t>
      </w:r>
      <w:r w:rsidR="002B7475">
        <w:rPr>
          <w:b/>
        </w:rPr>
        <w:t xml:space="preserve"> – the Sendai Framework and 2030 Sustainable Development Agenda</w:t>
      </w:r>
    </w:p>
    <w:p w:rsidR="00ED4754" w:rsidRDefault="00ED4754" w:rsidP="00ED4754">
      <w:pPr>
        <w:rPr>
          <w:b/>
        </w:rPr>
      </w:pPr>
    </w:p>
    <w:p w:rsidR="005A06AC" w:rsidRDefault="00317AF0" w:rsidP="002B7475">
      <w:r>
        <w:t xml:space="preserve">Ministries of Health hold vital information that can support the national reporting on the </w:t>
      </w:r>
      <w:r w:rsidR="007A11A4">
        <w:t xml:space="preserve">7 Targets </w:t>
      </w:r>
      <w:r w:rsidR="00E46BBB">
        <w:t xml:space="preserve">and associated </w:t>
      </w:r>
      <w:r>
        <w:t>38 indicators of the Sendai Framework for Disaster Risk Reduction</w:t>
      </w:r>
      <w:r w:rsidR="007A11A4">
        <w:t xml:space="preserve"> 2015-2030. Some of these indicators are included in </w:t>
      </w:r>
      <w:r>
        <w:t xml:space="preserve">the Sustainable Development Goals, </w:t>
      </w:r>
      <w:r w:rsidR="007A11A4">
        <w:t>the 100 WHO Global Health Indicators and the 13</w:t>
      </w:r>
      <w:r w:rsidR="007A11A4" w:rsidRPr="00E46BBB">
        <w:rPr>
          <w:vertAlign w:val="superscript"/>
        </w:rPr>
        <w:t>th</w:t>
      </w:r>
      <w:r w:rsidR="007A11A4">
        <w:t xml:space="preserve"> WHO General Programme of Work</w:t>
      </w:r>
      <w:r>
        <w:t xml:space="preserve">. </w:t>
      </w:r>
    </w:p>
    <w:p w:rsidR="005A06AC" w:rsidRDefault="005A06AC" w:rsidP="002B7475"/>
    <w:p w:rsidR="00827FE7" w:rsidRPr="00416F45" w:rsidRDefault="005A06AC">
      <w:r>
        <w:t>The Sendai Framework was adopted by</w:t>
      </w:r>
      <w:r w:rsidRPr="00416F45">
        <w:t xml:space="preserve"> the 187 United Nations member states</w:t>
      </w:r>
      <w:r>
        <w:t xml:space="preserve"> in 2015</w:t>
      </w:r>
      <w:r w:rsidR="002C625B">
        <w:rPr>
          <w:vertAlign w:val="superscript"/>
        </w:rPr>
        <w:t>1</w:t>
      </w:r>
      <w:r>
        <w:t xml:space="preserve">, and </w:t>
      </w:r>
      <w:r w:rsidR="00E46BBB">
        <w:t xml:space="preserve">provides direction to </w:t>
      </w:r>
      <w:r w:rsidRPr="00416F45">
        <w:t xml:space="preserve">countries to enhance their capacities </w:t>
      </w:r>
      <w:r w:rsidR="00E46BBB">
        <w:t xml:space="preserve">to reduce risks and consequences of hazardous events </w:t>
      </w:r>
      <w:r w:rsidRPr="00416F45">
        <w:t>at all scales and across all sectors. It covers small-scale and large-scale, frequent and infrequent, sudden and s</w:t>
      </w:r>
      <w:r>
        <w:t xml:space="preserve">low-onset events associated with natural, biological, </w:t>
      </w:r>
      <w:r w:rsidRPr="00416F45">
        <w:t xml:space="preserve">environmental, technological and biological hazards. </w:t>
      </w:r>
      <w:r>
        <w:t xml:space="preserve"> </w:t>
      </w:r>
      <w:r w:rsidR="00827FE7" w:rsidRPr="00416F45">
        <w:t xml:space="preserve">On 2 February 2017, the UN General Assembly adopted resolution A/71/644, which </w:t>
      </w:r>
      <w:r w:rsidR="00827FE7">
        <w:t>describes</w:t>
      </w:r>
      <w:r w:rsidR="00827FE7" w:rsidRPr="00416F45">
        <w:t xml:space="preserve"> the indicators </w:t>
      </w:r>
      <w:r w:rsidR="00827FE7">
        <w:t>for the 7 Sendai Framework Targets</w:t>
      </w:r>
      <w:r w:rsidR="009575AE">
        <w:rPr>
          <w:vertAlign w:val="superscript"/>
        </w:rPr>
        <w:t>2</w:t>
      </w:r>
      <w:r w:rsidR="00827FE7" w:rsidRPr="00416F45">
        <w:t xml:space="preserve">. </w:t>
      </w:r>
    </w:p>
    <w:p w:rsidR="005A06AC" w:rsidRPr="00416F45" w:rsidRDefault="005A06AC" w:rsidP="00E46BBB">
      <w:r w:rsidRPr="00123048">
        <w:t>Along with complementary instruments of the United Nations’ 2030 agenda, such as the</w:t>
      </w:r>
      <w:r>
        <w:t xml:space="preserve"> </w:t>
      </w:r>
      <w:r w:rsidRPr="00123048">
        <w:t>Sustainable Development Goals (SDGs) and the Paris Climate Agreement, the Sendai Framework offers UN</w:t>
      </w:r>
      <w:r>
        <w:t xml:space="preserve"> </w:t>
      </w:r>
      <w:r w:rsidRPr="00123048">
        <w:t>Member States</w:t>
      </w:r>
      <w:r w:rsidR="00E46BBB">
        <w:t xml:space="preserve"> targets and indicators to enable monitoring and reporting</w:t>
      </w:r>
      <w:r w:rsidRPr="00123048">
        <w:t xml:space="preserve"> of progress</w:t>
      </w:r>
      <w:r w:rsidR="0086392D">
        <w:rPr>
          <w:vertAlign w:val="superscript"/>
        </w:rPr>
        <w:t>3</w:t>
      </w:r>
      <w:r w:rsidRPr="00123048">
        <w:t>.</w:t>
      </w:r>
    </w:p>
    <w:p w:rsidR="005A06AC" w:rsidRDefault="005A06AC" w:rsidP="002B7475"/>
    <w:p w:rsidR="002B7475" w:rsidRDefault="00E17EB6" w:rsidP="008453FD">
      <w:r>
        <w:t xml:space="preserve">Health is </w:t>
      </w:r>
      <w:r w:rsidR="00E46BBB">
        <w:t>woven</w:t>
      </w:r>
      <w:r w:rsidR="00827FE7">
        <w:t xml:space="preserve"> throughout the Sendai Framework: it </w:t>
      </w:r>
      <w:r w:rsidR="00E46BBB">
        <w:t xml:space="preserve">is </w:t>
      </w:r>
      <w:r>
        <w:t xml:space="preserve">central to </w:t>
      </w:r>
      <w:r w:rsidR="00764AA7">
        <w:t>t</w:t>
      </w:r>
      <w:r>
        <w:t xml:space="preserve">he Framework outcome of a “substantial reduction of disaster risk and losses </w:t>
      </w:r>
      <w:r w:rsidR="00F7133C">
        <w:t>in live, livelihoods and health”</w:t>
      </w:r>
      <w:r>
        <w:t xml:space="preserve"> and the goal to “prevent new and reduce existing disaster risk through the implementation of integrated and inclusive economic, structural, legal, social, health, cultural, educational, environmental, technological, political and institutional measures that prevent and reduce hazard exposure and vulnerability to disaster, increase preparedness for response and recovery, and thus strengthen resilience.”</w:t>
      </w:r>
      <w:r w:rsidR="00452C76">
        <w:rPr>
          <w:vertAlign w:val="superscript"/>
        </w:rPr>
        <w:t>1</w:t>
      </w:r>
      <w:r w:rsidR="007461E4">
        <w:t xml:space="preserve"> </w:t>
      </w:r>
    </w:p>
    <w:p w:rsidR="002B7475" w:rsidRDefault="002B7475" w:rsidP="002B7475"/>
    <w:p w:rsidR="00764AA7" w:rsidRDefault="00685407" w:rsidP="00764AA7">
      <w:r>
        <w:t>Figure</w:t>
      </w:r>
      <w:r w:rsidR="00D27989">
        <w:t xml:space="preserve"> </w:t>
      </w:r>
      <w:r>
        <w:t xml:space="preserve">1 </w:t>
      </w:r>
      <w:r w:rsidR="00D27989">
        <w:t>shows the links between the two UN adopted agreements.</w:t>
      </w:r>
    </w:p>
    <w:p w:rsidR="00685407" w:rsidRDefault="00685407" w:rsidP="00764AA7"/>
    <w:p w:rsidR="00685407" w:rsidRDefault="00685407">
      <w:pPr>
        <w:spacing w:after="200" w:line="276" w:lineRule="auto"/>
      </w:pPr>
      <w:r>
        <w:br w:type="page"/>
      </w:r>
    </w:p>
    <w:p w:rsidR="00685407" w:rsidRDefault="00685407" w:rsidP="00764AA7">
      <w:r>
        <w:lastRenderedPageBreak/>
        <w:t>Figure 1: Link between Sendai Framework and Sustainable Development Goals</w:t>
      </w:r>
    </w:p>
    <w:p w:rsidR="00D27989" w:rsidRDefault="00D27989" w:rsidP="00D27989">
      <w:pPr>
        <w:ind w:right="-29"/>
        <w:jc w:val="both"/>
        <w:rPr>
          <w:spacing w:val="-5"/>
          <w:szCs w:val="24"/>
        </w:rPr>
      </w:pPr>
    </w:p>
    <w:p w:rsidR="00E92C93" w:rsidRDefault="00020436" w:rsidP="00416F45">
      <w:pPr>
        <w:autoSpaceDE w:val="0"/>
        <w:autoSpaceDN w:val="0"/>
        <w:adjustRightInd w:val="0"/>
        <w:spacing w:line="360" w:lineRule="auto"/>
        <w:contextualSpacing/>
        <w:rPr>
          <w:rFonts w:asciiTheme="minorHAnsi" w:hAnsiTheme="minorHAnsi"/>
        </w:rPr>
      </w:pPr>
      <w:r>
        <w:rPr>
          <w:rFonts w:asciiTheme="minorHAnsi" w:hAnsiTheme="minorHAnsi"/>
          <w:noProof/>
          <w:lang w:val="en-US"/>
        </w:rPr>
        <w:drawing>
          <wp:inline distT="0" distB="0" distL="0" distR="0" wp14:anchorId="3B7569ED" wp14:editId="226D6D36">
            <wp:extent cx="5619477" cy="4296478"/>
            <wp:effectExtent l="0" t="0" r="635"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ai SDG gra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369" cy="4296396"/>
                    </a:xfrm>
                    <a:prstGeom prst="rect">
                      <a:avLst/>
                    </a:prstGeom>
                  </pic:spPr>
                </pic:pic>
              </a:graphicData>
            </a:graphic>
          </wp:inline>
        </w:drawing>
      </w:r>
    </w:p>
    <w:p w:rsidR="00685407" w:rsidRPr="000F5BB8" w:rsidRDefault="00685407" w:rsidP="00685407">
      <w:pPr>
        <w:rPr>
          <w:b/>
          <w:bCs/>
        </w:rPr>
      </w:pPr>
      <w:r>
        <w:rPr>
          <w:b/>
          <w:bCs/>
        </w:rPr>
        <w:t>Why it is important</w:t>
      </w:r>
    </w:p>
    <w:p w:rsidR="00685407" w:rsidRDefault="00685407" w:rsidP="00685407"/>
    <w:p w:rsidR="00685407" w:rsidRDefault="00685407" w:rsidP="00685407">
      <w:pPr>
        <w:ind w:right="-29"/>
        <w:jc w:val="both"/>
      </w:pPr>
      <w:r>
        <w:t xml:space="preserve">The Sendai Framework Targets are directly or indirectly related to health in terms of reducing mortality, morbidity, damage and disruption to health services attributed to emergencies and disasters, as well as strengthening of national and local strategies for disaster risk reduction, international cooperation, and accessibility and availability of early warning and risk information It is therefore important the Ministries of Health and other health authorities are actively involved in working with other government agencies, including the Sendai Framework Monitoring Focal Point,  to ensure that health data is accurately reported in national reporting for the Sendai Framework and in reporting for other related frameworks (e.g. the SDGs).  </w:t>
      </w:r>
    </w:p>
    <w:p w:rsidR="00685407" w:rsidRDefault="00685407" w:rsidP="00685407">
      <w:pPr>
        <w:ind w:right="-29"/>
        <w:jc w:val="both"/>
      </w:pPr>
    </w:p>
    <w:p w:rsidR="00685407" w:rsidRPr="00E92C93" w:rsidRDefault="00685407" w:rsidP="00685407">
      <w:pPr>
        <w:ind w:right="-29"/>
        <w:jc w:val="both"/>
        <w:rPr>
          <w:spacing w:val="9"/>
          <w:szCs w:val="24"/>
        </w:rPr>
      </w:pPr>
      <w:r>
        <w:rPr>
          <w:spacing w:val="-5"/>
          <w:szCs w:val="24"/>
        </w:rPr>
        <w:t xml:space="preserve">Data is central to designing, implementing and evaluating health </w:t>
      </w:r>
      <w:r w:rsidRPr="00E92C93">
        <w:rPr>
          <w:spacing w:val="-5"/>
          <w:szCs w:val="24"/>
        </w:rPr>
        <w:t>e</w:t>
      </w:r>
      <w:r w:rsidRPr="00E92C93">
        <w:rPr>
          <w:spacing w:val="5"/>
          <w:szCs w:val="24"/>
        </w:rPr>
        <w:t>m</w:t>
      </w:r>
      <w:r w:rsidRPr="00E92C93">
        <w:rPr>
          <w:spacing w:val="-2"/>
          <w:szCs w:val="24"/>
        </w:rPr>
        <w:t>e</w:t>
      </w:r>
      <w:r w:rsidRPr="00E92C93">
        <w:rPr>
          <w:szCs w:val="24"/>
        </w:rPr>
        <w:t>r</w:t>
      </w:r>
      <w:r w:rsidRPr="00E92C93">
        <w:rPr>
          <w:spacing w:val="-2"/>
          <w:szCs w:val="24"/>
        </w:rPr>
        <w:t>gen</w:t>
      </w:r>
      <w:r w:rsidRPr="00E92C93">
        <w:rPr>
          <w:szCs w:val="24"/>
        </w:rPr>
        <w:t>cy</w:t>
      </w:r>
      <w:r w:rsidRPr="00E92C93">
        <w:rPr>
          <w:spacing w:val="10"/>
          <w:szCs w:val="24"/>
        </w:rPr>
        <w:t xml:space="preserve"> and disaster risk management (Health-EDRM)</w:t>
      </w:r>
      <w:r>
        <w:rPr>
          <w:spacing w:val="10"/>
          <w:szCs w:val="24"/>
        </w:rPr>
        <w:t xml:space="preserve"> which </w:t>
      </w:r>
      <w:r w:rsidRPr="00E92C93">
        <w:rPr>
          <w:szCs w:val="24"/>
        </w:rPr>
        <w:t>r</w:t>
      </w:r>
      <w:r w:rsidRPr="00E92C93">
        <w:rPr>
          <w:spacing w:val="-2"/>
          <w:szCs w:val="24"/>
        </w:rPr>
        <w:t>e</w:t>
      </w:r>
      <w:r w:rsidRPr="00E92C93">
        <w:rPr>
          <w:spacing w:val="6"/>
          <w:szCs w:val="24"/>
        </w:rPr>
        <w:t>f</w:t>
      </w:r>
      <w:r w:rsidRPr="00E92C93">
        <w:rPr>
          <w:spacing w:val="-2"/>
          <w:szCs w:val="24"/>
        </w:rPr>
        <w:t>e</w:t>
      </w:r>
      <w:r w:rsidRPr="00E92C93">
        <w:rPr>
          <w:szCs w:val="24"/>
        </w:rPr>
        <w:t>rs</w:t>
      </w:r>
      <w:r w:rsidRPr="00E92C93">
        <w:rPr>
          <w:spacing w:val="-2"/>
          <w:szCs w:val="24"/>
        </w:rPr>
        <w:t xml:space="preserve"> </w:t>
      </w:r>
      <w:r w:rsidRPr="00E92C93">
        <w:rPr>
          <w:spacing w:val="2"/>
          <w:w w:val="101"/>
          <w:szCs w:val="24"/>
        </w:rPr>
        <w:t>t</w:t>
      </w:r>
      <w:r w:rsidRPr="00E92C93">
        <w:rPr>
          <w:spacing w:val="-6"/>
          <w:szCs w:val="24"/>
        </w:rPr>
        <w:t xml:space="preserve">o </w:t>
      </w:r>
      <w:r w:rsidRPr="00E92C93">
        <w:rPr>
          <w:spacing w:val="2"/>
          <w:szCs w:val="24"/>
        </w:rPr>
        <w:t>t</w:t>
      </w:r>
      <w:r w:rsidRPr="00E92C93">
        <w:rPr>
          <w:spacing w:val="-2"/>
          <w:szCs w:val="24"/>
        </w:rPr>
        <w:t>h</w:t>
      </w:r>
      <w:r w:rsidRPr="00E92C93">
        <w:rPr>
          <w:szCs w:val="24"/>
        </w:rPr>
        <w:t>e</w:t>
      </w:r>
      <w:r w:rsidRPr="00E92C93">
        <w:rPr>
          <w:spacing w:val="5"/>
          <w:szCs w:val="24"/>
        </w:rPr>
        <w:t xml:space="preserve"> </w:t>
      </w:r>
      <w:r w:rsidRPr="00E92C93">
        <w:rPr>
          <w:spacing w:val="-5"/>
          <w:szCs w:val="24"/>
        </w:rPr>
        <w:t>s</w:t>
      </w:r>
      <w:r w:rsidRPr="00E92C93">
        <w:rPr>
          <w:szCs w:val="24"/>
        </w:rPr>
        <w:t>y</w:t>
      </w:r>
      <w:r w:rsidRPr="00E92C93">
        <w:rPr>
          <w:spacing w:val="-5"/>
          <w:szCs w:val="24"/>
        </w:rPr>
        <w:t>s</w:t>
      </w:r>
      <w:r w:rsidRPr="00E92C93">
        <w:rPr>
          <w:spacing w:val="2"/>
          <w:szCs w:val="24"/>
        </w:rPr>
        <w:t>t</w:t>
      </w:r>
      <w:r w:rsidRPr="00E92C93">
        <w:rPr>
          <w:spacing w:val="-2"/>
          <w:szCs w:val="24"/>
        </w:rPr>
        <w:t>e</w:t>
      </w:r>
      <w:r w:rsidRPr="00E92C93">
        <w:rPr>
          <w:spacing w:val="5"/>
          <w:szCs w:val="24"/>
        </w:rPr>
        <w:t>m</w:t>
      </w:r>
      <w:r w:rsidRPr="00E92C93">
        <w:rPr>
          <w:spacing w:val="-2"/>
          <w:szCs w:val="24"/>
        </w:rPr>
        <w:t>a</w:t>
      </w:r>
      <w:r w:rsidRPr="00E92C93">
        <w:rPr>
          <w:spacing w:val="-3"/>
          <w:szCs w:val="24"/>
        </w:rPr>
        <w:t>t</w:t>
      </w:r>
      <w:r w:rsidRPr="00E92C93">
        <w:rPr>
          <w:spacing w:val="3"/>
          <w:szCs w:val="24"/>
        </w:rPr>
        <w:t>i</w:t>
      </w:r>
      <w:r w:rsidRPr="00E92C93">
        <w:rPr>
          <w:szCs w:val="24"/>
        </w:rPr>
        <w:t>c</w:t>
      </w:r>
      <w:r w:rsidRPr="00E92C93">
        <w:rPr>
          <w:spacing w:val="2"/>
          <w:szCs w:val="24"/>
        </w:rPr>
        <w:t xml:space="preserve"> </w:t>
      </w:r>
      <w:r w:rsidRPr="00E92C93">
        <w:rPr>
          <w:spacing w:val="-2"/>
          <w:szCs w:val="24"/>
        </w:rPr>
        <w:t>ana</w:t>
      </w:r>
      <w:r w:rsidRPr="00E92C93">
        <w:rPr>
          <w:spacing w:val="3"/>
          <w:szCs w:val="24"/>
        </w:rPr>
        <w:t>l</w:t>
      </w:r>
      <w:r w:rsidRPr="00E92C93">
        <w:rPr>
          <w:szCs w:val="24"/>
        </w:rPr>
        <w:t>y</w:t>
      </w:r>
      <w:r w:rsidRPr="00E92C93">
        <w:rPr>
          <w:spacing w:val="-5"/>
          <w:szCs w:val="24"/>
        </w:rPr>
        <w:t>s</w:t>
      </w:r>
      <w:r w:rsidRPr="00E92C93">
        <w:rPr>
          <w:spacing w:val="3"/>
          <w:szCs w:val="24"/>
        </w:rPr>
        <w:t>i</w:t>
      </w:r>
      <w:r w:rsidRPr="00E92C93">
        <w:rPr>
          <w:szCs w:val="24"/>
        </w:rPr>
        <w:t>s</w:t>
      </w:r>
      <w:r w:rsidRPr="00E92C93">
        <w:rPr>
          <w:spacing w:val="1"/>
          <w:szCs w:val="24"/>
        </w:rPr>
        <w:t xml:space="preserve"> </w:t>
      </w:r>
      <w:r w:rsidRPr="00E92C93">
        <w:rPr>
          <w:spacing w:val="-2"/>
          <w:szCs w:val="24"/>
        </w:rPr>
        <w:t>an</w:t>
      </w:r>
      <w:r w:rsidRPr="00E92C93">
        <w:rPr>
          <w:szCs w:val="24"/>
        </w:rPr>
        <w:t xml:space="preserve">d </w:t>
      </w:r>
      <w:r w:rsidRPr="00E92C93">
        <w:rPr>
          <w:spacing w:val="5"/>
          <w:szCs w:val="24"/>
        </w:rPr>
        <w:t>m</w:t>
      </w:r>
      <w:r w:rsidRPr="00E92C93">
        <w:rPr>
          <w:spacing w:val="-2"/>
          <w:szCs w:val="24"/>
        </w:rPr>
        <w:t>anag</w:t>
      </w:r>
      <w:r w:rsidRPr="00E92C93">
        <w:rPr>
          <w:spacing w:val="-6"/>
          <w:szCs w:val="24"/>
        </w:rPr>
        <w:t>e</w:t>
      </w:r>
      <w:r w:rsidRPr="00E92C93">
        <w:rPr>
          <w:spacing w:val="5"/>
          <w:szCs w:val="24"/>
        </w:rPr>
        <w:t>m</w:t>
      </w:r>
      <w:r w:rsidRPr="00E92C93">
        <w:rPr>
          <w:spacing w:val="-2"/>
          <w:szCs w:val="24"/>
        </w:rPr>
        <w:t>en</w:t>
      </w:r>
      <w:r w:rsidRPr="00E92C93">
        <w:rPr>
          <w:szCs w:val="24"/>
        </w:rPr>
        <w:t>t</w:t>
      </w:r>
      <w:r w:rsidRPr="00E92C93">
        <w:rPr>
          <w:spacing w:val="4"/>
          <w:szCs w:val="24"/>
        </w:rPr>
        <w:t xml:space="preserve"> </w:t>
      </w:r>
      <w:r w:rsidRPr="00E92C93">
        <w:rPr>
          <w:spacing w:val="-6"/>
          <w:szCs w:val="24"/>
        </w:rPr>
        <w:t>o</w:t>
      </w:r>
      <w:r w:rsidRPr="00E92C93">
        <w:rPr>
          <w:w w:val="101"/>
          <w:szCs w:val="24"/>
        </w:rPr>
        <w:t xml:space="preserve">f </w:t>
      </w:r>
      <w:r w:rsidRPr="00E92C93">
        <w:rPr>
          <w:spacing w:val="-2"/>
          <w:szCs w:val="24"/>
        </w:rPr>
        <w:t>hea</w:t>
      </w:r>
      <w:r w:rsidRPr="00E92C93">
        <w:rPr>
          <w:spacing w:val="3"/>
          <w:szCs w:val="24"/>
        </w:rPr>
        <w:t>l</w:t>
      </w:r>
      <w:r w:rsidRPr="00E92C93">
        <w:rPr>
          <w:spacing w:val="2"/>
          <w:szCs w:val="24"/>
        </w:rPr>
        <w:t>t</w:t>
      </w:r>
      <w:r w:rsidRPr="00E92C93">
        <w:rPr>
          <w:szCs w:val="24"/>
        </w:rPr>
        <w:t>h</w:t>
      </w:r>
      <w:r w:rsidRPr="00E92C93">
        <w:rPr>
          <w:spacing w:val="4"/>
          <w:szCs w:val="24"/>
        </w:rPr>
        <w:t xml:space="preserve"> </w:t>
      </w:r>
      <w:r w:rsidRPr="00E92C93">
        <w:rPr>
          <w:spacing w:val="-5"/>
          <w:szCs w:val="24"/>
        </w:rPr>
        <w:t>r</w:t>
      </w:r>
      <w:r w:rsidRPr="00E92C93">
        <w:rPr>
          <w:spacing w:val="3"/>
          <w:szCs w:val="24"/>
        </w:rPr>
        <w:t>i</w:t>
      </w:r>
      <w:r w:rsidRPr="00E92C93">
        <w:rPr>
          <w:spacing w:val="-5"/>
          <w:szCs w:val="24"/>
        </w:rPr>
        <w:t>s</w:t>
      </w:r>
      <w:r w:rsidRPr="00E92C93">
        <w:rPr>
          <w:szCs w:val="24"/>
        </w:rPr>
        <w:t>k</w:t>
      </w:r>
      <w:r w:rsidRPr="00E92C93">
        <w:rPr>
          <w:spacing w:val="-5"/>
          <w:szCs w:val="24"/>
        </w:rPr>
        <w:t>s</w:t>
      </w:r>
      <w:r w:rsidRPr="00E92C93">
        <w:rPr>
          <w:szCs w:val="24"/>
        </w:rPr>
        <w:t>,</w:t>
      </w:r>
      <w:r w:rsidRPr="00E92C93">
        <w:rPr>
          <w:spacing w:val="7"/>
          <w:szCs w:val="24"/>
        </w:rPr>
        <w:t xml:space="preserve"> </w:t>
      </w:r>
      <w:r w:rsidRPr="00E92C93">
        <w:rPr>
          <w:spacing w:val="-2"/>
          <w:szCs w:val="24"/>
        </w:rPr>
        <w:t>po</w:t>
      </w:r>
      <w:r w:rsidRPr="00E92C93">
        <w:rPr>
          <w:spacing w:val="-5"/>
          <w:szCs w:val="24"/>
        </w:rPr>
        <w:t>s</w:t>
      </w:r>
      <w:r w:rsidRPr="00E92C93">
        <w:rPr>
          <w:spacing w:val="-2"/>
          <w:szCs w:val="24"/>
        </w:rPr>
        <w:t>e</w:t>
      </w:r>
      <w:r w:rsidRPr="00E92C93">
        <w:rPr>
          <w:szCs w:val="24"/>
        </w:rPr>
        <w:t>d</w:t>
      </w:r>
      <w:r w:rsidRPr="00E92C93">
        <w:rPr>
          <w:spacing w:val="3"/>
          <w:szCs w:val="24"/>
        </w:rPr>
        <w:t xml:space="preserve"> </w:t>
      </w:r>
      <w:r w:rsidRPr="00E92C93">
        <w:rPr>
          <w:spacing w:val="-2"/>
          <w:szCs w:val="24"/>
        </w:rPr>
        <w:t>b</w:t>
      </w:r>
      <w:r w:rsidRPr="00E92C93">
        <w:rPr>
          <w:szCs w:val="24"/>
        </w:rPr>
        <w:t>y</w:t>
      </w:r>
      <w:r>
        <w:rPr>
          <w:szCs w:val="24"/>
        </w:rPr>
        <w:t xml:space="preserve"> potential and actual</w:t>
      </w:r>
      <w:r w:rsidRPr="00E92C93">
        <w:rPr>
          <w:spacing w:val="5"/>
          <w:szCs w:val="24"/>
        </w:rPr>
        <w:t xml:space="preserve"> hazardous events, including </w:t>
      </w:r>
      <w:r w:rsidRPr="00E92C93">
        <w:rPr>
          <w:spacing w:val="-2"/>
          <w:szCs w:val="24"/>
        </w:rPr>
        <w:t>e</w:t>
      </w:r>
      <w:r w:rsidRPr="00E92C93">
        <w:rPr>
          <w:spacing w:val="5"/>
          <w:szCs w:val="24"/>
        </w:rPr>
        <w:t>m</w:t>
      </w:r>
      <w:r w:rsidRPr="00E92C93">
        <w:rPr>
          <w:spacing w:val="-2"/>
          <w:szCs w:val="24"/>
        </w:rPr>
        <w:t>e</w:t>
      </w:r>
      <w:r w:rsidRPr="00E92C93">
        <w:rPr>
          <w:szCs w:val="24"/>
        </w:rPr>
        <w:t>r</w:t>
      </w:r>
      <w:r w:rsidRPr="00E92C93">
        <w:rPr>
          <w:spacing w:val="-2"/>
          <w:szCs w:val="24"/>
        </w:rPr>
        <w:t>gen</w:t>
      </w:r>
      <w:r w:rsidRPr="00E92C93">
        <w:rPr>
          <w:szCs w:val="24"/>
        </w:rPr>
        <w:t>c</w:t>
      </w:r>
      <w:r w:rsidRPr="00E92C93">
        <w:rPr>
          <w:spacing w:val="3"/>
          <w:szCs w:val="24"/>
        </w:rPr>
        <w:t>i</w:t>
      </w:r>
      <w:r w:rsidRPr="00E92C93">
        <w:rPr>
          <w:spacing w:val="-2"/>
          <w:szCs w:val="24"/>
        </w:rPr>
        <w:t>e</w:t>
      </w:r>
      <w:r w:rsidRPr="00E92C93">
        <w:rPr>
          <w:szCs w:val="24"/>
        </w:rPr>
        <w:t xml:space="preserve">s </w:t>
      </w:r>
      <w:r w:rsidRPr="00E92C93">
        <w:rPr>
          <w:spacing w:val="-2"/>
          <w:szCs w:val="24"/>
        </w:rPr>
        <w:t>an</w:t>
      </w:r>
      <w:r w:rsidRPr="00E92C93">
        <w:rPr>
          <w:szCs w:val="24"/>
        </w:rPr>
        <w:t>d</w:t>
      </w:r>
      <w:r w:rsidRPr="00E92C93">
        <w:rPr>
          <w:spacing w:val="3"/>
          <w:szCs w:val="24"/>
        </w:rPr>
        <w:t xml:space="preserve"> </w:t>
      </w:r>
      <w:r w:rsidRPr="00E92C93">
        <w:rPr>
          <w:spacing w:val="-6"/>
          <w:szCs w:val="24"/>
        </w:rPr>
        <w:t>d</w:t>
      </w:r>
      <w:r w:rsidRPr="00E92C93">
        <w:rPr>
          <w:spacing w:val="3"/>
          <w:szCs w:val="24"/>
        </w:rPr>
        <w:t>i</w:t>
      </w:r>
      <w:r w:rsidRPr="00E92C93">
        <w:rPr>
          <w:spacing w:val="-5"/>
          <w:szCs w:val="24"/>
        </w:rPr>
        <w:t>s</w:t>
      </w:r>
      <w:r w:rsidRPr="00E92C93">
        <w:rPr>
          <w:spacing w:val="-2"/>
          <w:szCs w:val="24"/>
        </w:rPr>
        <w:t>a</w:t>
      </w:r>
      <w:r w:rsidRPr="00E92C93">
        <w:rPr>
          <w:spacing w:val="-5"/>
          <w:szCs w:val="24"/>
        </w:rPr>
        <w:t>s</w:t>
      </w:r>
      <w:r w:rsidRPr="00E92C93">
        <w:rPr>
          <w:spacing w:val="2"/>
          <w:szCs w:val="24"/>
        </w:rPr>
        <w:t>t</w:t>
      </w:r>
      <w:r w:rsidRPr="00E92C93">
        <w:rPr>
          <w:spacing w:val="-2"/>
          <w:szCs w:val="24"/>
        </w:rPr>
        <w:t>e</w:t>
      </w:r>
      <w:r w:rsidRPr="00E92C93">
        <w:rPr>
          <w:szCs w:val="24"/>
        </w:rPr>
        <w:t>r</w:t>
      </w:r>
      <w:r w:rsidRPr="00E92C93">
        <w:rPr>
          <w:spacing w:val="-5"/>
          <w:szCs w:val="24"/>
        </w:rPr>
        <w:t>s</w:t>
      </w:r>
      <w:r w:rsidRPr="00E92C93">
        <w:rPr>
          <w:szCs w:val="24"/>
        </w:rPr>
        <w:t>,</w:t>
      </w:r>
      <w:r w:rsidRPr="00E92C93">
        <w:rPr>
          <w:spacing w:val="9"/>
          <w:szCs w:val="24"/>
        </w:rPr>
        <w:t xml:space="preserve"> </w:t>
      </w:r>
      <w:r w:rsidRPr="00E92C93">
        <w:rPr>
          <w:spacing w:val="2"/>
          <w:szCs w:val="24"/>
        </w:rPr>
        <w:t>t</w:t>
      </w:r>
      <w:r w:rsidRPr="00E92C93">
        <w:rPr>
          <w:spacing w:val="-2"/>
          <w:szCs w:val="24"/>
        </w:rPr>
        <w:t>h</w:t>
      </w:r>
      <w:r w:rsidRPr="00E92C93">
        <w:rPr>
          <w:szCs w:val="24"/>
        </w:rPr>
        <w:t>r</w:t>
      </w:r>
      <w:r w:rsidRPr="00E92C93">
        <w:rPr>
          <w:spacing w:val="-2"/>
          <w:szCs w:val="24"/>
        </w:rPr>
        <w:t>oug</w:t>
      </w:r>
      <w:r w:rsidRPr="00E92C93">
        <w:rPr>
          <w:szCs w:val="24"/>
        </w:rPr>
        <w:t>h</w:t>
      </w:r>
      <w:r w:rsidRPr="00E92C93">
        <w:rPr>
          <w:spacing w:val="5"/>
          <w:szCs w:val="24"/>
        </w:rPr>
        <w:t xml:space="preserve"> </w:t>
      </w:r>
      <w:r w:rsidRPr="00E92C93">
        <w:rPr>
          <w:szCs w:val="24"/>
        </w:rPr>
        <w:t>a c</w:t>
      </w:r>
      <w:r w:rsidRPr="00E92C93">
        <w:rPr>
          <w:spacing w:val="-6"/>
          <w:szCs w:val="24"/>
        </w:rPr>
        <w:t>o</w:t>
      </w:r>
      <w:r w:rsidRPr="00E92C93">
        <w:rPr>
          <w:spacing w:val="5"/>
          <w:szCs w:val="24"/>
        </w:rPr>
        <w:t>m</w:t>
      </w:r>
      <w:r w:rsidRPr="00E92C93">
        <w:rPr>
          <w:spacing w:val="-2"/>
          <w:szCs w:val="24"/>
        </w:rPr>
        <w:t>b</w:t>
      </w:r>
      <w:r w:rsidRPr="00E92C93">
        <w:rPr>
          <w:spacing w:val="3"/>
          <w:szCs w:val="24"/>
        </w:rPr>
        <w:t>i</w:t>
      </w:r>
      <w:r w:rsidRPr="00E92C93">
        <w:rPr>
          <w:spacing w:val="-2"/>
          <w:szCs w:val="24"/>
        </w:rPr>
        <w:t>na</w:t>
      </w:r>
      <w:r w:rsidRPr="00E92C93">
        <w:rPr>
          <w:spacing w:val="-3"/>
          <w:szCs w:val="24"/>
        </w:rPr>
        <w:t>t</w:t>
      </w:r>
      <w:r w:rsidRPr="00E92C93">
        <w:rPr>
          <w:spacing w:val="3"/>
          <w:szCs w:val="24"/>
        </w:rPr>
        <w:t>i</w:t>
      </w:r>
      <w:r w:rsidRPr="00E92C93">
        <w:rPr>
          <w:spacing w:val="-2"/>
          <w:szCs w:val="24"/>
        </w:rPr>
        <w:t>o</w:t>
      </w:r>
      <w:r w:rsidRPr="00E92C93">
        <w:rPr>
          <w:szCs w:val="24"/>
        </w:rPr>
        <w:t>n</w:t>
      </w:r>
      <w:r w:rsidRPr="00E92C93">
        <w:rPr>
          <w:spacing w:val="1"/>
          <w:szCs w:val="24"/>
        </w:rPr>
        <w:t xml:space="preserve"> </w:t>
      </w:r>
      <w:r w:rsidRPr="00E92C93">
        <w:rPr>
          <w:spacing w:val="-6"/>
          <w:szCs w:val="24"/>
        </w:rPr>
        <w:t>o</w:t>
      </w:r>
      <w:r w:rsidRPr="00E92C93">
        <w:rPr>
          <w:szCs w:val="24"/>
        </w:rPr>
        <w:t>f</w:t>
      </w:r>
      <w:r w:rsidRPr="00E92C93">
        <w:rPr>
          <w:spacing w:val="9"/>
          <w:szCs w:val="24"/>
        </w:rPr>
        <w:t>:</w:t>
      </w:r>
    </w:p>
    <w:p w:rsidR="00685407" w:rsidRPr="00E92C93" w:rsidRDefault="00685407" w:rsidP="00685407">
      <w:pPr>
        <w:ind w:right="-29"/>
        <w:jc w:val="both"/>
        <w:rPr>
          <w:spacing w:val="9"/>
          <w:szCs w:val="24"/>
        </w:rPr>
      </w:pPr>
    </w:p>
    <w:p w:rsidR="00685407" w:rsidRPr="00E92C93" w:rsidRDefault="00685407" w:rsidP="00685407">
      <w:pPr>
        <w:pStyle w:val="ListParagraph"/>
        <w:numPr>
          <w:ilvl w:val="0"/>
          <w:numId w:val="1"/>
        </w:numPr>
        <w:ind w:left="567" w:right="-29" w:hanging="207"/>
        <w:jc w:val="both"/>
        <w:rPr>
          <w:spacing w:val="8"/>
          <w:szCs w:val="24"/>
        </w:rPr>
      </w:pPr>
      <w:r w:rsidRPr="00E92C93">
        <w:rPr>
          <w:spacing w:val="-2"/>
          <w:szCs w:val="24"/>
        </w:rPr>
        <w:t>ha</w:t>
      </w:r>
      <w:r w:rsidRPr="00E92C93">
        <w:rPr>
          <w:szCs w:val="24"/>
        </w:rPr>
        <w:t>z</w:t>
      </w:r>
      <w:r w:rsidRPr="00E92C93">
        <w:rPr>
          <w:spacing w:val="-2"/>
          <w:szCs w:val="24"/>
        </w:rPr>
        <w:t>a</w:t>
      </w:r>
      <w:r w:rsidRPr="00E92C93">
        <w:rPr>
          <w:szCs w:val="24"/>
        </w:rPr>
        <w:t>rd, exposure</w:t>
      </w:r>
      <w:r w:rsidRPr="00E92C93">
        <w:rPr>
          <w:spacing w:val="5"/>
          <w:szCs w:val="24"/>
        </w:rPr>
        <w:t xml:space="preserve"> </w:t>
      </w:r>
      <w:r w:rsidRPr="00E92C93">
        <w:rPr>
          <w:spacing w:val="-2"/>
          <w:szCs w:val="24"/>
        </w:rPr>
        <w:t>an</w:t>
      </w:r>
      <w:r w:rsidRPr="00E92C93">
        <w:rPr>
          <w:szCs w:val="24"/>
        </w:rPr>
        <w:t xml:space="preserve">d </w:t>
      </w:r>
      <w:r w:rsidRPr="00E92C93">
        <w:rPr>
          <w:spacing w:val="5"/>
          <w:szCs w:val="24"/>
        </w:rPr>
        <w:t>v</w:t>
      </w:r>
      <w:r w:rsidRPr="00E92C93">
        <w:rPr>
          <w:spacing w:val="-6"/>
          <w:szCs w:val="24"/>
        </w:rPr>
        <w:t>u</w:t>
      </w:r>
      <w:r w:rsidRPr="00E92C93">
        <w:rPr>
          <w:spacing w:val="3"/>
          <w:szCs w:val="24"/>
        </w:rPr>
        <w:t>l</w:t>
      </w:r>
      <w:r w:rsidRPr="00E92C93">
        <w:rPr>
          <w:spacing w:val="-2"/>
          <w:szCs w:val="24"/>
        </w:rPr>
        <w:t>ne</w:t>
      </w:r>
      <w:r w:rsidRPr="00E92C93">
        <w:rPr>
          <w:szCs w:val="24"/>
        </w:rPr>
        <w:t>r</w:t>
      </w:r>
      <w:r w:rsidRPr="00E92C93">
        <w:rPr>
          <w:spacing w:val="-2"/>
          <w:szCs w:val="24"/>
        </w:rPr>
        <w:t>abi</w:t>
      </w:r>
      <w:r w:rsidRPr="00E92C93">
        <w:rPr>
          <w:spacing w:val="3"/>
          <w:szCs w:val="24"/>
        </w:rPr>
        <w:t>l</w:t>
      </w:r>
      <w:r w:rsidRPr="00E92C93">
        <w:rPr>
          <w:spacing w:val="-2"/>
          <w:szCs w:val="24"/>
        </w:rPr>
        <w:t>i</w:t>
      </w:r>
      <w:r w:rsidRPr="00E92C93">
        <w:rPr>
          <w:spacing w:val="2"/>
          <w:szCs w:val="24"/>
        </w:rPr>
        <w:t>t</w:t>
      </w:r>
      <w:r w:rsidRPr="00E92C93">
        <w:rPr>
          <w:szCs w:val="24"/>
        </w:rPr>
        <w:t>y</w:t>
      </w:r>
      <w:r w:rsidRPr="00E92C93">
        <w:rPr>
          <w:spacing w:val="7"/>
          <w:szCs w:val="24"/>
        </w:rPr>
        <w:t xml:space="preserve"> </w:t>
      </w:r>
      <w:r w:rsidRPr="00E92C93">
        <w:rPr>
          <w:szCs w:val="24"/>
        </w:rPr>
        <w:t>r</w:t>
      </w:r>
      <w:r w:rsidRPr="00E92C93">
        <w:rPr>
          <w:spacing w:val="-2"/>
          <w:szCs w:val="24"/>
        </w:rPr>
        <w:t>edu</w:t>
      </w:r>
      <w:r w:rsidRPr="00E92C93">
        <w:rPr>
          <w:spacing w:val="-5"/>
          <w:szCs w:val="24"/>
        </w:rPr>
        <w:t>c</w:t>
      </w:r>
      <w:r w:rsidRPr="00E92C93">
        <w:rPr>
          <w:spacing w:val="2"/>
          <w:szCs w:val="24"/>
        </w:rPr>
        <w:t>t</w:t>
      </w:r>
      <w:r w:rsidRPr="00E92C93">
        <w:rPr>
          <w:spacing w:val="3"/>
          <w:szCs w:val="24"/>
        </w:rPr>
        <w:t>i</w:t>
      </w:r>
      <w:r w:rsidRPr="00E92C93">
        <w:rPr>
          <w:spacing w:val="-2"/>
          <w:szCs w:val="24"/>
        </w:rPr>
        <w:t>o</w:t>
      </w:r>
      <w:r w:rsidRPr="00E92C93">
        <w:rPr>
          <w:szCs w:val="24"/>
        </w:rPr>
        <w:t>n</w:t>
      </w:r>
      <w:r w:rsidRPr="00E92C93">
        <w:rPr>
          <w:spacing w:val="1"/>
          <w:szCs w:val="24"/>
        </w:rPr>
        <w:t xml:space="preserve"> </w:t>
      </w:r>
      <w:r w:rsidRPr="00E92C93">
        <w:rPr>
          <w:spacing w:val="2"/>
          <w:szCs w:val="24"/>
        </w:rPr>
        <w:t>t</w:t>
      </w:r>
      <w:r w:rsidRPr="00E92C93">
        <w:rPr>
          <w:szCs w:val="24"/>
        </w:rPr>
        <w:t>o</w:t>
      </w:r>
      <w:r w:rsidRPr="00E92C93">
        <w:rPr>
          <w:spacing w:val="6"/>
          <w:szCs w:val="24"/>
        </w:rPr>
        <w:t xml:space="preserve"> </w:t>
      </w:r>
      <w:r w:rsidRPr="00E92C93">
        <w:rPr>
          <w:spacing w:val="-2"/>
          <w:szCs w:val="24"/>
        </w:rPr>
        <w:t>p</w:t>
      </w:r>
      <w:r w:rsidRPr="00E92C93">
        <w:rPr>
          <w:szCs w:val="24"/>
        </w:rPr>
        <w:t>r</w:t>
      </w:r>
      <w:r w:rsidRPr="00E92C93">
        <w:rPr>
          <w:spacing w:val="-6"/>
          <w:szCs w:val="24"/>
        </w:rPr>
        <w:t>e</w:t>
      </w:r>
      <w:r w:rsidRPr="00E92C93">
        <w:rPr>
          <w:spacing w:val="5"/>
          <w:szCs w:val="24"/>
        </w:rPr>
        <w:t>v</w:t>
      </w:r>
      <w:r w:rsidRPr="00E92C93">
        <w:rPr>
          <w:spacing w:val="-2"/>
          <w:szCs w:val="24"/>
        </w:rPr>
        <w:t>en</w:t>
      </w:r>
      <w:r w:rsidRPr="00E92C93">
        <w:rPr>
          <w:szCs w:val="24"/>
        </w:rPr>
        <w:t>t</w:t>
      </w:r>
      <w:r w:rsidRPr="00E92C93">
        <w:rPr>
          <w:spacing w:val="9"/>
          <w:szCs w:val="24"/>
        </w:rPr>
        <w:t xml:space="preserve"> </w:t>
      </w:r>
      <w:r w:rsidRPr="00E92C93">
        <w:rPr>
          <w:spacing w:val="-2"/>
          <w:szCs w:val="24"/>
        </w:rPr>
        <w:t>an</w:t>
      </w:r>
      <w:r w:rsidRPr="00E92C93">
        <w:rPr>
          <w:szCs w:val="24"/>
        </w:rPr>
        <w:t>d m</w:t>
      </w:r>
      <w:r w:rsidRPr="00E92C93">
        <w:rPr>
          <w:spacing w:val="3"/>
          <w:szCs w:val="24"/>
        </w:rPr>
        <w:t>i</w:t>
      </w:r>
      <w:r w:rsidRPr="00E92C93">
        <w:rPr>
          <w:spacing w:val="-3"/>
          <w:w w:val="101"/>
          <w:szCs w:val="24"/>
        </w:rPr>
        <w:t>t</w:t>
      </w:r>
      <w:r w:rsidRPr="00E92C93">
        <w:rPr>
          <w:spacing w:val="3"/>
          <w:szCs w:val="24"/>
        </w:rPr>
        <w:t>i</w:t>
      </w:r>
      <w:r w:rsidRPr="00E92C93">
        <w:rPr>
          <w:spacing w:val="-2"/>
          <w:szCs w:val="24"/>
        </w:rPr>
        <w:t>ga</w:t>
      </w:r>
      <w:r w:rsidRPr="00E92C93">
        <w:rPr>
          <w:spacing w:val="2"/>
          <w:w w:val="101"/>
          <w:szCs w:val="24"/>
        </w:rPr>
        <w:t>t</w:t>
      </w:r>
      <w:r w:rsidRPr="00E92C93">
        <w:rPr>
          <w:szCs w:val="24"/>
        </w:rPr>
        <w:t>e r</w:t>
      </w:r>
      <w:r w:rsidRPr="00E92C93">
        <w:rPr>
          <w:spacing w:val="3"/>
          <w:szCs w:val="24"/>
        </w:rPr>
        <w:t>i</w:t>
      </w:r>
      <w:r w:rsidRPr="00E92C93">
        <w:rPr>
          <w:spacing w:val="-5"/>
          <w:szCs w:val="24"/>
        </w:rPr>
        <w:t>s</w:t>
      </w:r>
      <w:r w:rsidRPr="00E92C93">
        <w:rPr>
          <w:szCs w:val="24"/>
        </w:rPr>
        <w:t>k</w:t>
      </w:r>
      <w:r w:rsidRPr="00E92C93">
        <w:rPr>
          <w:spacing w:val="-5"/>
          <w:szCs w:val="24"/>
        </w:rPr>
        <w:t>s</w:t>
      </w:r>
      <w:r w:rsidRPr="00E92C93">
        <w:rPr>
          <w:szCs w:val="24"/>
        </w:rPr>
        <w:t>,</w:t>
      </w:r>
      <w:r w:rsidRPr="00E92C93">
        <w:rPr>
          <w:spacing w:val="8"/>
          <w:szCs w:val="24"/>
        </w:rPr>
        <w:t xml:space="preserve"> </w:t>
      </w:r>
    </w:p>
    <w:p w:rsidR="00685407" w:rsidRPr="00E92C93" w:rsidRDefault="00685407" w:rsidP="00685407">
      <w:pPr>
        <w:pStyle w:val="ListParagraph"/>
        <w:numPr>
          <w:ilvl w:val="0"/>
          <w:numId w:val="1"/>
        </w:numPr>
        <w:ind w:left="567" w:right="-29" w:hanging="207"/>
        <w:jc w:val="both"/>
        <w:rPr>
          <w:szCs w:val="24"/>
        </w:rPr>
      </w:pPr>
      <w:r w:rsidRPr="00E92C93">
        <w:rPr>
          <w:spacing w:val="-2"/>
          <w:szCs w:val="24"/>
        </w:rPr>
        <w:t>p</w:t>
      </w:r>
      <w:r w:rsidRPr="00E92C93">
        <w:rPr>
          <w:szCs w:val="24"/>
        </w:rPr>
        <w:t>r</w:t>
      </w:r>
      <w:r w:rsidRPr="00E92C93">
        <w:rPr>
          <w:spacing w:val="-2"/>
          <w:szCs w:val="24"/>
        </w:rPr>
        <w:t>epa</w:t>
      </w:r>
      <w:r w:rsidRPr="00E92C93">
        <w:rPr>
          <w:szCs w:val="24"/>
        </w:rPr>
        <w:t>r</w:t>
      </w:r>
      <w:r w:rsidRPr="00E92C93">
        <w:rPr>
          <w:spacing w:val="-2"/>
          <w:szCs w:val="24"/>
        </w:rPr>
        <w:t>edne</w:t>
      </w:r>
      <w:r w:rsidRPr="00E92C93">
        <w:rPr>
          <w:szCs w:val="24"/>
        </w:rPr>
        <w:t>s</w:t>
      </w:r>
      <w:r w:rsidRPr="00E92C93">
        <w:rPr>
          <w:spacing w:val="-5"/>
          <w:szCs w:val="24"/>
        </w:rPr>
        <w:t>s</w:t>
      </w:r>
      <w:r w:rsidRPr="00E92C93">
        <w:rPr>
          <w:szCs w:val="24"/>
        </w:rPr>
        <w:t>,</w:t>
      </w:r>
      <w:r w:rsidRPr="00E92C93">
        <w:rPr>
          <w:spacing w:val="8"/>
          <w:szCs w:val="24"/>
        </w:rPr>
        <w:t xml:space="preserve"> </w:t>
      </w:r>
    </w:p>
    <w:p w:rsidR="00685407" w:rsidRPr="00E92C93" w:rsidRDefault="00685407" w:rsidP="00685407">
      <w:pPr>
        <w:pStyle w:val="ListParagraph"/>
        <w:numPr>
          <w:ilvl w:val="0"/>
          <w:numId w:val="1"/>
        </w:numPr>
        <w:ind w:left="567" w:right="-29" w:hanging="207"/>
        <w:jc w:val="both"/>
        <w:rPr>
          <w:szCs w:val="24"/>
        </w:rPr>
      </w:pPr>
      <w:r w:rsidRPr="00E92C93">
        <w:rPr>
          <w:szCs w:val="24"/>
        </w:rPr>
        <w:t>r</w:t>
      </w:r>
      <w:r w:rsidRPr="00E92C93">
        <w:rPr>
          <w:spacing w:val="-2"/>
          <w:szCs w:val="24"/>
        </w:rPr>
        <w:t>e</w:t>
      </w:r>
      <w:r w:rsidRPr="00E92C93">
        <w:rPr>
          <w:spacing w:val="-5"/>
          <w:szCs w:val="24"/>
        </w:rPr>
        <w:t>s</w:t>
      </w:r>
      <w:r w:rsidRPr="00E92C93">
        <w:rPr>
          <w:spacing w:val="-2"/>
          <w:szCs w:val="24"/>
        </w:rPr>
        <w:t>po</w:t>
      </w:r>
      <w:r w:rsidRPr="00E92C93">
        <w:rPr>
          <w:spacing w:val="3"/>
          <w:szCs w:val="24"/>
        </w:rPr>
        <w:t>n</w:t>
      </w:r>
      <w:r w:rsidRPr="00E92C93">
        <w:rPr>
          <w:spacing w:val="-5"/>
          <w:szCs w:val="24"/>
        </w:rPr>
        <w:t>s</w:t>
      </w:r>
      <w:r w:rsidRPr="00E92C93">
        <w:rPr>
          <w:szCs w:val="24"/>
        </w:rPr>
        <w:t>e,</w:t>
      </w:r>
      <w:r w:rsidRPr="00E92C93">
        <w:rPr>
          <w:spacing w:val="3"/>
          <w:szCs w:val="24"/>
        </w:rPr>
        <w:t xml:space="preserve"> </w:t>
      </w:r>
      <w:r w:rsidRPr="00E92C93">
        <w:rPr>
          <w:spacing w:val="-2"/>
          <w:szCs w:val="24"/>
        </w:rPr>
        <w:t>an</w:t>
      </w:r>
      <w:r w:rsidRPr="00E92C93">
        <w:rPr>
          <w:szCs w:val="24"/>
        </w:rPr>
        <w:t>d</w:t>
      </w:r>
      <w:r w:rsidRPr="00E92C93">
        <w:rPr>
          <w:spacing w:val="3"/>
          <w:szCs w:val="24"/>
        </w:rPr>
        <w:t xml:space="preserve"> </w:t>
      </w:r>
    </w:p>
    <w:p w:rsidR="00685407" w:rsidRPr="00E92C93" w:rsidRDefault="00685407" w:rsidP="00685407">
      <w:pPr>
        <w:pStyle w:val="ListParagraph"/>
        <w:numPr>
          <w:ilvl w:val="0"/>
          <w:numId w:val="1"/>
        </w:numPr>
        <w:ind w:left="567" w:right="-29" w:hanging="207"/>
        <w:jc w:val="both"/>
        <w:rPr>
          <w:szCs w:val="24"/>
        </w:rPr>
      </w:pPr>
      <w:r w:rsidRPr="00E92C93">
        <w:rPr>
          <w:szCs w:val="24"/>
        </w:rPr>
        <w:t>r</w:t>
      </w:r>
      <w:r w:rsidRPr="00E92C93">
        <w:rPr>
          <w:spacing w:val="-2"/>
          <w:szCs w:val="24"/>
        </w:rPr>
        <w:t>e</w:t>
      </w:r>
      <w:r w:rsidRPr="00E92C93">
        <w:rPr>
          <w:szCs w:val="24"/>
        </w:rPr>
        <w:t>c</w:t>
      </w:r>
      <w:r w:rsidRPr="00E92C93">
        <w:rPr>
          <w:spacing w:val="-6"/>
          <w:szCs w:val="24"/>
        </w:rPr>
        <w:t>o</w:t>
      </w:r>
      <w:r w:rsidRPr="00E92C93">
        <w:rPr>
          <w:spacing w:val="10"/>
          <w:szCs w:val="24"/>
        </w:rPr>
        <w:t>v</w:t>
      </w:r>
      <w:r w:rsidRPr="00E92C93">
        <w:rPr>
          <w:spacing w:val="-2"/>
          <w:szCs w:val="24"/>
        </w:rPr>
        <w:t>e</w:t>
      </w:r>
      <w:r w:rsidRPr="00E92C93">
        <w:rPr>
          <w:szCs w:val="24"/>
        </w:rPr>
        <w:t>ry</w:t>
      </w:r>
      <w:r w:rsidRPr="00E92C93">
        <w:rPr>
          <w:w w:val="101"/>
          <w:szCs w:val="24"/>
        </w:rPr>
        <w:t>.</w:t>
      </w:r>
    </w:p>
    <w:p w:rsidR="00685407" w:rsidRPr="00E92C93" w:rsidRDefault="00685407" w:rsidP="00685407">
      <w:pPr>
        <w:ind w:right="-29"/>
        <w:jc w:val="both"/>
        <w:rPr>
          <w:szCs w:val="24"/>
        </w:rPr>
      </w:pPr>
    </w:p>
    <w:p w:rsidR="00685407" w:rsidRDefault="00685407" w:rsidP="00685407">
      <w:pPr>
        <w:contextualSpacing/>
        <w:jc w:val="both"/>
        <w:rPr>
          <w:szCs w:val="24"/>
        </w:rPr>
      </w:pPr>
      <w:r w:rsidRPr="00E92C93">
        <w:rPr>
          <w:szCs w:val="24"/>
        </w:rPr>
        <w:lastRenderedPageBreak/>
        <w:t xml:space="preserve">Understanding </w:t>
      </w:r>
      <w:r>
        <w:rPr>
          <w:szCs w:val="24"/>
        </w:rPr>
        <w:t xml:space="preserve">to what extent health is </w:t>
      </w:r>
      <w:r w:rsidRPr="00E92C93">
        <w:rPr>
          <w:szCs w:val="24"/>
        </w:rPr>
        <w:t xml:space="preserve">affected by </w:t>
      </w:r>
      <w:r>
        <w:rPr>
          <w:szCs w:val="24"/>
        </w:rPr>
        <w:t xml:space="preserve">emergencies and </w:t>
      </w:r>
      <w:r w:rsidR="00F7133C">
        <w:rPr>
          <w:szCs w:val="24"/>
        </w:rPr>
        <w:t>disasters is</w:t>
      </w:r>
      <w:r w:rsidRPr="00E92C93">
        <w:rPr>
          <w:szCs w:val="24"/>
        </w:rPr>
        <w:t xml:space="preserve"> </w:t>
      </w:r>
      <w:r>
        <w:rPr>
          <w:szCs w:val="24"/>
        </w:rPr>
        <w:t>a complex task</w:t>
      </w:r>
      <w:r w:rsidRPr="00E92C93">
        <w:rPr>
          <w:szCs w:val="24"/>
        </w:rPr>
        <w:t xml:space="preserve"> but essential </w:t>
      </w:r>
      <w:r>
        <w:rPr>
          <w:szCs w:val="24"/>
        </w:rPr>
        <w:t xml:space="preserve">to reducing risks and </w:t>
      </w:r>
      <w:r w:rsidRPr="00E92C93">
        <w:rPr>
          <w:szCs w:val="24"/>
        </w:rPr>
        <w:t xml:space="preserve">mitigating the effects of future </w:t>
      </w:r>
      <w:r>
        <w:rPr>
          <w:szCs w:val="24"/>
        </w:rPr>
        <w:t>events through effective and efficient health EDRM</w:t>
      </w:r>
      <w:r w:rsidR="00F7133C">
        <w:rPr>
          <w:szCs w:val="24"/>
          <w:vertAlign w:val="superscript"/>
        </w:rPr>
        <w:t>4</w:t>
      </w:r>
      <w:r w:rsidRPr="00E92C93">
        <w:rPr>
          <w:szCs w:val="24"/>
        </w:rPr>
        <w:t>.</w:t>
      </w:r>
      <w:r>
        <w:rPr>
          <w:szCs w:val="24"/>
        </w:rPr>
        <w:t xml:space="preserve"> On the other hand, changes in capacities in health and other sectors are important to measuring progress in implementing health EDRM, Sendai Framework and other related frameworks, such as the International Health Regulations.</w:t>
      </w:r>
    </w:p>
    <w:p w:rsidR="00685407" w:rsidRDefault="00685407" w:rsidP="00685407">
      <w:pPr>
        <w:contextualSpacing/>
        <w:jc w:val="both"/>
        <w:rPr>
          <w:szCs w:val="24"/>
        </w:rPr>
      </w:pPr>
    </w:p>
    <w:p w:rsidR="00685407" w:rsidRDefault="00685407" w:rsidP="00F50B60">
      <w:pPr>
        <w:contextualSpacing/>
        <w:jc w:val="both"/>
        <w:rPr>
          <w:color w:val="000000" w:themeColor="text1"/>
        </w:rPr>
      </w:pPr>
      <w:r>
        <w:t xml:space="preserve">Improving access and availability of health data will inform </w:t>
      </w:r>
      <w:r>
        <w:rPr>
          <w:color w:val="000000" w:themeColor="text1"/>
        </w:rPr>
        <w:t xml:space="preserve">understanding and decision-making around current and future risks. Health data is vital to </w:t>
      </w:r>
      <w:r>
        <w:t>risk and capacity assessments, planning and implementation of measures to reduce the health risks and consequences of different types of emergencies and disasters, and to build the resilience of communities and countries. Health data is essential to monitor and evaluate the impacts of action taken by health and other sectors at all levels of society, identify good practice and improve future action. I</w:t>
      </w:r>
      <w:r>
        <w:rPr>
          <w:color w:val="000000" w:themeColor="text1"/>
        </w:rPr>
        <w:t xml:space="preserve">mproving access and availability of health data will inform.  </w:t>
      </w:r>
    </w:p>
    <w:p w:rsidR="00685407" w:rsidRDefault="00685407" w:rsidP="00685407">
      <w:pPr>
        <w:jc w:val="both"/>
        <w:rPr>
          <w:color w:val="000000" w:themeColor="text1"/>
        </w:rPr>
      </w:pPr>
    </w:p>
    <w:p w:rsidR="00685407" w:rsidRPr="000F5BB8" w:rsidRDefault="00685407" w:rsidP="00685407">
      <w:pPr>
        <w:rPr>
          <w:b/>
          <w:bCs/>
        </w:rPr>
      </w:pPr>
      <w:r w:rsidRPr="000F5BB8">
        <w:rPr>
          <w:b/>
          <w:bCs/>
        </w:rPr>
        <w:t>The purpose of the guidance notes</w:t>
      </w:r>
    </w:p>
    <w:p w:rsidR="00685407" w:rsidRDefault="00685407" w:rsidP="00685407">
      <w:pPr>
        <w:rPr>
          <w:color w:val="000000" w:themeColor="text1"/>
          <w:szCs w:val="24"/>
        </w:rPr>
      </w:pPr>
    </w:p>
    <w:p w:rsidR="00685407" w:rsidRDefault="00685407" w:rsidP="00452C76">
      <w:pPr>
        <w:jc w:val="both"/>
        <w:rPr>
          <w:color w:val="000000" w:themeColor="text1"/>
          <w:szCs w:val="24"/>
        </w:rPr>
      </w:pPr>
      <w:r w:rsidRPr="000F5BB8">
        <w:rPr>
          <w:color w:val="000000" w:themeColor="text1"/>
          <w:szCs w:val="24"/>
        </w:rPr>
        <w:t xml:space="preserve">These technical guidance notes </w:t>
      </w:r>
      <w:r>
        <w:rPr>
          <w:color w:val="000000" w:themeColor="text1"/>
          <w:szCs w:val="24"/>
        </w:rPr>
        <w:t xml:space="preserve">aim to </w:t>
      </w:r>
      <w:r w:rsidRPr="000F5BB8">
        <w:rPr>
          <w:color w:val="000000" w:themeColor="text1"/>
          <w:szCs w:val="24"/>
        </w:rPr>
        <w:t xml:space="preserve">guide the health sector, in particular Ministries of Health, on their role in collecting and reporting relevant data </w:t>
      </w:r>
      <w:r w:rsidR="00F7133C" w:rsidRPr="000F5BB8">
        <w:rPr>
          <w:color w:val="000000" w:themeColor="text1"/>
          <w:szCs w:val="24"/>
        </w:rPr>
        <w:t>for the</w:t>
      </w:r>
      <w:r w:rsidRPr="000F5BB8">
        <w:rPr>
          <w:color w:val="000000" w:themeColor="text1"/>
          <w:szCs w:val="24"/>
        </w:rPr>
        <w:t xml:space="preserve"> Sendai Framework</w:t>
      </w:r>
      <w:r w:rsidR="00D82186">
        <w:rPr>
          <w:color w:val="000000" w:themeColor="text1"/>
          <w:szCs w:val="24"/>
        </w:rPr>
        <w:t xml:space="preserve"> targets</w:t>
      </w:r>
      <w:r w:rsidRPr="000F5BB8">
        <w:rPr>
          <w:color w:val="000000" w:themeColor="text1"/>
          <w:szCs w:val="24"/>
        </w:rPr>
        <w:t xml:space="preserve">. </w:t>
      </w:r>
      <w:r w:rsidRPr="00442EF6">
        <w:rPr>
          <w:color w:val="000000" w:themeColor="text1"/>
          <w:szCs w:val="24"/>
        </w:rPr>
        <w:t>They seek to</w:t>
      </w:r>
      <w:r>
        <w:rPr>
          <w:color w:val="000000" w:themeColor="text1"/>
          <w:szCs w:val="24"/>
        </w:rPr>
        <w:t xml:space="preserve"> simplify and standardise reporting </w:t>
      </w:r>
      <w:r w:rsidRPr="00442EF6">
        <w:rPr>
          <w:color w:val="000000" w:themeColor="text1"/>
          <w:szCs w:val="24"/>
        </w:rPr>
        <w:t xml:space="preserve">through </w:t>
      </w:r>
      <w:r>
        <w:rPr>
          <w:color w:val="000000" w:themeColor="text1"/>
          <w:szCs w:val="24"/>
        </w:rPr>
        <w:t>the application of common language and methods</w:t>
      </w:r>
      <w:r w:rsidRPr="00442EF6">
        <w:rPr>
          <w:color w:val="000000" w:themeColor="text1"/>
          <w:szCs w:val="24"/>
        </w:rPr>
        <w:t xml:space="preserve">.  </w:t>
      </w:r>
      <w:r w:rsidRPr="000F5BB8">
        <w:rPr>
          <w:color w:val="000000" w:themeColor="text1"/>
          <w:szCs w:val="24"/>
        </w:rPr>
        <w:t>They provide information on the key issues to take into account in the collection of health data</w:t>
      </w:r>
      <w:r>
        <w:rPr>
          <w:color w:val="000000" w:themeColor="text1"/>
          <w:szCs w:val="24"/>
        </w:rPr>
        <w:t>,</w:t>
      </w:r>
      <w:r w:rsidRPr="000F5BB8">
        <w:rPr>
          <w:color w:val="000000" w:themeColor="text1"/>
          <w:szCs w:val="24"/>
        </w:rPr>
        <w:t xml:space="preserve"> </w:t>
      </w:r>
      <w:r>
        <w:rPr>
          <w:color w:val="000000" w:themeColor="text1"/>
          <w:szCs w:val="24"/>
        </w:rPr>
        <w:t xml:space="preserve">types of data that should be collated, potential stakeholders to engage with, </w:t>
      </w:r>
      <w:r w:rsidRPr="000F5BB8">
        <w:rPr>
          <w:color w:val="000000" w:themeColor="text1"/>
          <w:szCs w:val="24"/>
        </w:rPr>
        <w:t>and templates to enable efficient transfer of data</w:t>
      </w:r>
      <w:r>
        <w:rPr>
          <w:color w:val="000000" w:themeColor="text1"/>
          <w:szCs w:val="24"/>
        </w:rPr>
        <w:t xml:space="preserve">. </w:t>
      </w:r>
      <w:r w:rsidRPr="000F5BB8">
        <w:rPr>
          <w:color w:val="000000" w:themeColor="text1"/>
          <w:szCs w:val="24"/>
        </w:rPr>
        <w:t xml:space="preserve">They </w:t>
      </w:r>
      <w:r>
        <w:rPr>
          <w:color w:val="000000" w:themeColor="text1"/>
          <w:szCs w:val="24"/>
        </w:rPr>
        <w:t xml:space="preserve">adapt and </w:t>
      </w:r>
      <w:r w:rsidRPr="000F5BB8">
        <w:rPr>
          <w:color w:val="000000" w:themeColor="text1"/>
          <w:szCs w:val="24"/>
        </w:rPr>
        <w:t xml:space="preserve">complement the </w:t>
      </w:r>
      <w:r w:rsidRPr="000F5BB8">
        <w:rPr>
          <w:i/>
          <w:iCs/>
        </w:rPr>
        <w:t>Technical guidance for monitoring and reporting on progress in achieving the global targets of the Sendai Framework for Disaster Risk Reduction</w:t>
      </w:r>
      <w:r>
        <w:rPr>
          <w:b/>
          <w:bCs/>
        </w:rPr>
        <w:t xml:space="preserve"> </w:t>
      </w:r>
      <w:r w:rsidR="00F7133C">
        <w:rPr>
          <w:b/>
          <w:bCs/>
          <w:vertAlign w:val="superscript"/>
        </w:rPr>
        <w:t>5</w:t>
      </w:r>
      <w:r w:rsidRPr="002A13BB">
        <w:rPr>
          <w:b/>
          <w:bCs/>
          <w:vertAlign w:val="superscript"/>
        </w:rPr>
        <w:t xml:space="preserve"> </w:t>
      </w:r>
      <w:r w:rsidRPr="000F5BB8">
        <w:rPr>
          <w:color w:val="000000" w:themeColor="text1"/>
          <w:szCs w:val="24"/>
        </w:rPr>
        <w:t xml:space="preserve">which have a multisectoral target audience. </w:t>
      </w:r>
    </w:p>
    <w:p w:rsidR="00452C76" w:rsidRPr="000F5BB8" w:rsidRDefault="00452C76" w:rsidP="00452C76">
      <w:pPr>
        <w:jc w:val="both"/>
        <w:rPr>
          <w:b/>
          <w:bCs/>
          <w:color w:val="000000" w:themeColor="text1"/>
          <w:szCs w:val="24"/>
        </w:rPr>
      </w:pPr>
    </w:p>
    <w:p w:rsidR="00685407" w:rsidRPr="001411AC" w:rsidRDefault="00685407" w:rsidP="00685407">
      <w:pPr>
        <w:rPr>
          <w:color w:val="000000" w:themeColor="text1"/>
          <w:szCs w:val="24"/>
        </w:rPr>
      </w:pPr>
      <w:r>
        <w:rPr>
          <w:color w:val="000000" w:themeColor="text1"/>
          <w:szCs w:val="24"/>
        </w:rPr>
        <w:t xml:space="preserve">These notes seek to provide support and to help operationalise the gathering of data for Ministries of Health to report against the Sendai Framework.  </w:t>
      </w:r>
    </w:p>
    <w:p w:rsidR="00685407" w:rsidRDefault="00685407" w:rsidP="00685407">
      <w:pPr>
        <w:contextualSpacing/>
        <w:jc w:val="both"/>
      </w:pPr>
    </w:p>
    <w:p w:rsidR="00685407" w:rsidRDefault="00685407" w:rsidP="00452C76">
      <w:pPr>
        <w:pStyle w:val="Heading1"/>
        <w:shd w:val="clear" w:color="auto" w:fill="FFFFFF"/>
        <w:spacing w:before="0" w:beforeAutospacing="0" w:after="0" w:afterAutospacing="0"/>
        <w:ind w:left="74"/>
        <w:jc w:val="both"/>
        <w:rPr>
          <w:rFonts w:ascii="Arial" w:eastAsia="Arial" w:hAnsi="Arial" w:cs="Arial"/>
          <w:b w:val="0"/>
          <w:bCs w:val="0"/>
          <w:kern w:val="0"/>
          <w:sz w:val="24"/>
          <w:szCs w:val="22"/>
          <w:lang w:val="en-GB"/>
        </w:rPr>
      </w:pPr>
      <w:r>
        <w:rPr>
          <w:rFonts w:ascii="Arial" w:eastAsia="Arial" w:hAnsi="Arial" w:cs="Arial"/>
          <w:b w:val="0"/>
          <w:bCs w:val="0"/>
          <w:kern w:val="0"/>
          <w:sz w:val="24"/>
          <w:szCs w:val="22"/>
          <w:lang w:val="en-GB"/>
        </w:rPr>
        <w:t>The guidance notes also make reference to indicators that will enable countries to monitor health effects, such as indirect losses, that are relevant to the Sendai Framework but outside the scope of the targets. Furthermore, the health sector also has a strong interest and role in reporting on societal hazards which are outside the scope of the Sendai Framework, and to indicators related to capacities required to implement the Sendai Framework and reduce risks and consequences of all types of emergencies and disasters.</w:t>
      </w:r>
    </w:p>
    <w:p w:rsidR="00685407" w:rsidRPr="000F5BB8" w:rsidRDefault="00685407" w:rsidP="00685407">
      <w:pPr>
        <w:pStyle w:val="Heading1"/>
        <w:shd w:val="clear" w:color="auto" w:fill="FFFFFF"/>
        <w:spacing w:before="0" w:beforeAutospacing="0" w:after="0" w:afterAutospacing="0"/>
        <w:ind w:left="74"/>
        <w:rPr>
          <w:rFonts w:ascii="Arial" w:eastAsia="Arial" w:hAnsi="Arial" w:cs="Arial"/>
          <w:b w:val="0"/>
          <w:bCs w:val="0"/>
          <w:kern w:val="0"/>
          <w:sz w:val="24"/>
          <w:szCs w:val="22"/>
          <w:lang w:val="en-GB"/>
        </w:rPr>
      </w:pPr>
    </w:p>
    <w:p w:rsidR="00685407" w:rsidRDefault="00685407" w:rsidP="00452C76">
      <w:pPr>
        <w:jc w:val="both"/>
        <w:rPr>
          <w:color w:val="000000" w:themeColor="text1"/>
          <w:szCs w:val="24"/>
        </w:rPr>
      </w:pPr>
      <w:r w:rsidRPr="001411AC">
        <w:rPr>
          <w:color w:val="000000" w:themeColor="text1"/>
          <w:szCs w:val="24"/>
        </w:rPr>
        <w:t>Ultimately, they aim to support the measurement of progress towards the achievement of the global targets of the Sendai Framework and relevant targets of the Sustainable Development Goals.</w:t>
      </w:r>
    </w:p>
    <w:p w:rsidR="00EB7A06" w:rsidRDefault="00EB7A06" w:rsidP="00EB7A06">
      <w:pPr>
        <w:jc w:val="both"/>
        <w:rPr>
          <w:color w:val="000000" w:themeColor="text1"/>
        </w:rPr>
      </w:pPr>
    </w:p>
    <w:p w:rsidR="00EB7A06" w:rsidRPr="007A7B8A" w:rsidRDefault="00EB7A06" w:rsidP="00EB7A06">
      <w:pPr>
        <w:contextualSpacing/>
        <w:rPr>
          <w:rFonts w:asciiTheme="minorHAnsi" w:hAnsiTheme="minorHAnsi"/>
          <w:b/>
          <w:bCs/>
        </w:rPr>
      </w:pPr>
      <w:r w:rsidRPr="007A7B8A">
        <w:rPr>
          <w:b/>
          <w:bCs/>
        </w:rPr>
        <w:t xml:space="preserve">Sendai Framework Monitoring </w:t>
      </w:r>
      <w:r>
        <w:rPr>
          <w:b/>
          <w:bCs/>
        </w:rPr>
        <w:t xml:space="preserve">and Reporting </w:t>
      </w:r>
      <w:r w:rsidRPr="007A7B8A">
        <w:rPr>
          <w:b/>
          <w:bCs/>
        </w:rPr>
        <w:t>process</w:t>
      </w:r>
    </w:p>
    <w:p w:rsidR="00EB7A06" w:rsidRPr="00FC7B0E" w:rsidRDefault="00EB7A06" w:rsidP="00EB7A06">
      <w:pPr>
        <w:contextualSpacing/>
        <w:jc w:val="both"/>
      </w:pPr>
    </w:p>
    <w:p w:rsidR="00EB7A06" w:rsidRPr="00EA4631" w:rsidRDefault="00EB7A06" w:rsidP="00EB7A06">
      <w:pPr>
        <w:autoSpaceDE w:val="0"/>
        <w:autoSpaceDN w:val="0"/>
        <w:adjustRightInd w:val="0"/>
        <w:jc w:val="both"/>
        <w:rPr>
          <w:rFonts w:eastAsiaTheme="minorHAnsi"/>
          <w:lang w:eastAsia="en-US"/>
        </w:rPr>
      </w:pPr>
      <w:r w:rsidRPr="001411AC">
        <w:rPr>
          <w:rFonts w:eastAsiaTheme="minorHAnsi"/>
          <w:lang w:eastAsia="en-US"/>
        </w:rPr>
        <w:t>The Sendai Framework calls for country self-monitoring to assess progress</w:t>
      </w:r>
      <w:r>
        <w:rPr>
          <w:rFonts w:eastAsiaTheme="minorHAnsi"/>
          <w:lang w:eastAsia="en-US"/>
        </w:rPr>
        <w:t xml:space="preserve"> </w:t>
      </w:r>
      <w:r w:rsidR="00F7133C">
        <w:rPr>
          <w:rFonts w:eastAsiaTheme="minorHAnsi"/>
          <w:lang w:eastAsia="en-US"/>
        </w:rPr>
        <w:t>against</w:t>
      </w:r>
      <w:r>
        <w:rPr>
          <w:rFonts w:eastAsiaTheme="minorHAnsi"/>
          <w:lang w:eastAsia="en-US"/>
        </w:rPr>
        <w:t xml:space="preserve"> the Targets and Indicators. </w:t>
      </w:r>
      <w:r w:rsidRPr="001411AC">
        <w:rPr>
          <w:rFonts w:eastAsiaTheme="minorHAnsi"/>
          <w:lang w:eastAsia="en-US"/>
        </w:rPr>
        <w:t xml:space="preserve">This implies that internationally comparative methods are not required and disaster loss data recording can take place using existing databases. This can ensure country capacities for recording and reporting are not overstretched and there is a focus on progress at the country level. Assessing the </w:t>
      </w:r>
      <w:r w:rsidRPr="001411AC">
        <w:rPr>
          <w:rFonts w:eastAsiaTheme="minorHAnsi"/>
          <w:lang w:eastAsia="en-US"/>
        </w:rPr>
        <w:lastRenderedPageBreak/>
        <w:t xml:space="preserve">impact of hazardous events requires collaboration across national governments. Ministries devoted to health, business and the environment are a sample of those who will be key to accurately the extent and impact of </w:t>
      </w:r>
      <w:r>
        <w:rPr>
          <w:rFonts w:eastAsiaTheme="minorHAnsi"/>
          <w:lang w:eastAsia="en-US"/>
        </w:rPr>
        <w:t xml:space="preserve">natural, </w:t>
      </w:r>
      <w:r w:rsidRPr="001411AC">
        <w:rPr>
          <w:rFonts w:eastAsiaTheme="minorHAnsi"/>
          <w:lang w:eastAsia="en-US"/>
        </w:rPr>
        <w:t>biological and technological hazards.</w:t>
      </w:r>
      <w:r w:rsidRPr="003B17DF">
        <w:rPr>
          <w:rFonts w:asciiTheme="minorHAnsi" w:eastAsiaTheme="minorHAnsi" w:hAnsiTheme="minorHAnsi" w:cs="ArialMT"/>
          <w:lang w:eastAsia="en-US"/>
        </w:rPr>
        <w:t xml:space="preserve"> </w:t>
      </w:r>
      <w:r>
        <w:rPr>
          <w:rFonts w:asciiTheme="minorHAnsi" w:eastAsiaTheme="minorHAnsi" w:hAnsiTheme="minorHAnsi" w:cs="ArialMT"/>
          <w:lang w:eastAsia="en-US"/>
        </w:rPr>
        <w:t xml:space="preserve"> </w:t>
      </w:r>
    </w:p>
    <w:p w:rsidR="00EB7A06" w:rsidRDefault="00EB7A06" w:rsidP="00EB7A06">
      <w:pPr>
        <w:jc w:val="both"/>
        <w:rPr>
          <w:color w:val="000000" w:themeColor="text1"/>
        </w:rPr>
      </w:pPr>
    </w:p>
    <w:p w:rsidR="00EB7A06" w:rsidRDefault="00EB7A06" w:rsidP="00EB7A06">
      <w:pPr>
        <w:jc w:val="both"/>
        <w:rPr>
          <w:rFonts w:ascii="Helvetica" w:hAnsi="Helvetica" w:cs="Helvetica"/>
          <w:color w:val="3B3B3B"/>
          <w:shd w:val="clear" w:color="auto" w:fill="FFFFFF"/>
        </w:rPr>
      </w:pPr>
      <w:r>
        <w:rPr>
          <w:color w:val="000000" w:themeColor="text1"/>
        </w:rPr>
        <w:t xml:space="preserve">Accountability is one of the corner stones of the Sendai Framework.  To support Member States in reporting against the Sendai Framework a reporting tool was developed, the Sendai Framework Monitor - </w:t>
      </w:r>
      <w:hyperlink r:id="rId10" w:history="1">
        <w:r w:rsidRPr="008D3152">
          <w:rPr>
            <w:rStyle w:val="Hyperlink"/>
          </w:rPr>
          <w:t>https://sendaimonitor.unisdr.org/</w:t>
        </w:r>
      </w:hyperlink>
      <w:r>
        <w:rPr>
          <w:color w:val="000000" w:themeColor="text1"/>
        </w:rPr>
        <w:t xml:space="preserve">.  </w:t>
      </w:r>
      <w:r>
        <w:rPr>
          <w:rFonts w:ascii="Helvetica" w:hAnsi="Helvetica" w:cs="Helvetica"/>
          <w:color w:val="3B3B3B"/>
          <w:shd w:val="clear" w:color="auto" w:fill="FFFFFF"/>
        </w:rPr>
        <w:t>The Sendai Framework Monitor will also function as a management tool to help countries develop disaster risk reduction strategies, make risk-informed policy decisions and allocate resources to prevent new disaster risks. As of March 1, 2018, Member States have to report against the indicators for measuring the global targets of the Sendai Framework, and disaster risk reduction-related indicators of the SDGs, using the online Sendai Framework Monitor.</w:t>
      </w:r>
    </w:p>
    <w:p w:rsidR="00EB7A06" w:rsidRDefault="00EB7A06" w:rsidP="00EB7A06">
      <w:pPr>
        <w:jc w:val="both"/>
        <w:rPr>
          <w:rFonts w:ascii="Helvetica" w:hAnsi="Helvetica" w:cs="Helvetica"/>
          <w:color w:val="3B3B3B"/>
          <w:shd w:val="clear" w:color="auto" w:fill="FFFFFF"/>
        </w:rPr>
      </w:pPr>
    </w:p>
    <w:p w:rsidR="00EB7A06" w:rsidRDefault="00EB7A06" w:rsidP="00EB7A06">
      <w:pPr>
        <w:jc w:val="both"/>
        <w:rPr>
          <w:rFonts w:ascii="Helvetica" w:hAnsi="Helvetica" w:cs="Helvetica"/>
          <w:color w:val="3B3B3B"/>
          <w:shd w:val="clear" w:color="auto" w:fill="FFFFFF"/>
        </w:rPr>
      </w:pPr>
      <w:r>
        <w:rPr>
          <w:rFonts w:ascii="Helvetica" w:hAnsi="Helvetica" w:cs="Helvetica"/>
          <w:color w:val="3B3B3B"/>
          <w:shd w:val="clear" w:color="auto" w:fill="FFFFFF"/>
        </w:rPr>
        <w:t xml:space="preserve">Reporting is an important element of the Sendai Framework.  It is important for Ministries of Health to identify and work with the National Focal point for reporting and ensure that staff who collect data relevant to the Targets are given access to report this data onto the Sendai Framework Monitor – either directly or via the National focal point. </w:t>
      </w:r>
    </w:p>
    <w:p w:rsidR="00383E93" w:rsidRPr="00ED4754" w:rsidRDefault="00383E93" w:rsidP="00ED4754">
      <w:pPr>
        <w:rPr>
          <w:b/>
        </w:rPr>
      </w:pPr>
    </w:p>
    <w:p w:rsidR="00ED4754" w:rsidRDefault="00ED4754" w:rsidP="00ED4754">
      <w:pPr>
        <w:contextualSpacing/>
        <w:jc w:val="both"/>
        <w:rPr>
          <w:b/>
        </w:rPr>
      </w:pPr>
      <w:r>
        <w:rPr>
          <w:b/>
        </w:rPr>
        <w:t>Data and indicators</w:t>
      </w:r>
    </w:p>
    <w:p w:rsidR="001A3D38" w:rsidRDefault="001A3D38" w:rsidP="001A3D38">
      <w:pPr>
        <w:ind w:left="720"/>
        <w:contextualSpacing/>
        <w:jc w:val="both"/>
      </w:pPr>
    </w:p>
    <w:p w:rsidR="00F35724" w:rsidRDefault="001A3D38" w:rsidP="00ED4754">
      <w:pPr>
        <w:contextualSpacing/>
        <w:jc w:val="both"/>
      </w:pPr>
      <w:r>
        <w:t>These guidance notes provide advice on what data to collect and how to collect it for each of the seven Sendai Targets, however, collecting and monitoring this data can be challenging</w:t>
      </w:r>
      <w:r w:rsidR="0037550F">
        <w:t>.</w:t>
      </w:r>
    </w:p>
    <w:p w:rsidR="00F7133C" w:rsidRDefault="00F7133C" w:rsidP="00ED4754">
      <w:pPr>
        <w:contextualSpacing/>
        <w:jc w:val="both"/>
      </w:pPr>
    </w:p>
    <w:p w:rsidR="00123048" w:rsidRDefault="0037550F" w:rsidP="00CF07E8">
      <w:pPr>
        <w:contextualSpacing/>
        <w:jc w:val="both"/>
      </w:pPr>
      <w:r>
        <w:t xml:space="preserve">The Sendai Framework seeks to collect data that is available without </w:t>
      </w:r>
      <w:r w:rsidR="00F35724">
        <w:t>asking</w:t>
      </w:r>
      <w:r>
        <w:t xml:space="preserve"> for Member States to develop specialised reporting tools.  This means that there are limits to comparisons geographically and through time.  </w:t>
      </w:r>
      <w:r w:rsidR="00EB7A06">
        <w:t xml:space="preserve">In terms of disaster losses, the </w:t>
      </w:r>
      <w:r>
        <w:t xml:space="preserve">main focus of Sendai is on the direct impact of disasters to populations, infrastructure, etc.  </w:t>
      </w:r>
      <w:r w:rsidR="00CF07E8">
        <w:t>While the Sendai</w:t>
      </w:r>
      <w:r w:rsidR="00F7133C">
        <w:t xml:space="preserve"> </w:t>
      </w:r>
      <w:r w:rsidR="00CF07E8">
        <w:t xml:space="preserve">Targets do not provide a full picture </w:t>
      </w:r>
      <w:r w:rsidR="00452C76">
        <w:t>of the</w:t>
      </w:r>
      <w:r w:rsidR="00CF07E8">
        <w:t xml:space="preserve"> impact of all hazards or the capacities required for health EDRM, it provides a good </w:t>
      </w:r>
      <w:r w:rsidR="00452C76">
        <w:t>basis for</w:t>
      </w:r>
      <w:r w:rsidR="00CF07E8">
        <w:t xml:space="preserve"> developing monitoring and measurement of the impact of hazardous events in a more systematic manner. </w:t>
      </w:r>
      <w:r>
        <w:t>More work will be needed to develop more sophisticated systems if there is a desire to collect data on the full impact</w:t>
      </w:r>
      <w:r w:rsidR="00F35724">
        <w:t xml:space="preserve"> of communities and countries,</w:t>
      </w:r>
      <w:r>
        <w:t xml:space="preserve"> including the indirect impacts across a longer time frame, e.g. ongoing mental health impacts, </w:t>
      </w:r>
      <w:r w:rsidR="00F35724">
        <w:t>building back better and ensuring resilience is in place to protect and prevent from future disasters.</w:t>
      </w:r>
    </w:p>
    <w:p w:rsidR="001A3D38" w:rsidRDefault="001A3D38" w:rsidP="00ED4754">
      <w:pPr>
        <w:contextualSpacing/>
        <w:jc w:val="both"/>
      </w:pPr>
    </w:p>
    <w:p w:rsidR="001A3D38" w:rsidRPr="00AD5D5A" w:rsidRDefault="001A3D38" w:rsidP="00AD5D5A">
      <w:pPr>
        <w:autoSpaceDE w:val="0"/>
        <w:autoSpaceDN w:val="0"/>
        <w:adjustRightInd w:val="0"/>
        <w:rPr>
          <w:szCs w:val="24"/>
        </w:rPr>
      </w:pPr>
      <w:r>
        <w:t>Numerous countries do not have access to reliable disaster loss data.  In 2014, the WHO demonstrated that ‘cause of death’ data varied significantly across the globe with some countries recording cause of mortality in less than 25% o</w:t>
      </w:r>
      <w:r w:rsidR="00685407">
        <w:t>f cases (Figure 2)</w:t>
      </w:r>
      <w:r>
        <w:t>.</w:t>
      </w:r>
      <w:r w:rsidR="002148D4" w:rsidRPr="002148D4">
        <w:t xml:space="preserve"> </w:t>
      </w:r>
      <w:r w:rsidR="00442EF6">
        <w:t xml:space="preserve"> The streng</w:t>
      </w:r>
      <w:r w:rsidR="004D691C">
        <w:t>t</w:t>
      </w:r>
      <w:r w:rsidR="00442EF6">
        <w:t>he</w:t>
      </w:r>
      <w:r w:rsidR="00EB7A06">
        <w:t>n</w:t>
      </w:r>
      <w:r w:rsidR="00442EF6">
        <w:t>ing of civil registration and vital stat</w:t>
      </w:r>
      <w:r w:rsidR="00AD5C9E">
        <w:t xml:space="preserve">istics capacities would assist the ability of countries to report against Targets A and B. The Sendai </w:t>
      </w:r>
      <w:r w:rsidR="00582971">
        <w:t>Framework</w:t>
      </w:r>
      <w:r w:rsidR="00AD5C9E">
        <w:t xml:space="preserve"> recommends </w:t>
      </w:r>
      <w:r w:rsidR="00AD5D5A">
        <w:t>“</w:t>
      </w:r>
      <w:r w:rsidR="00AD5D5A" w:rsidRPr="00AD5D5A">
        <w:rPr>
          <w:rFonts w:eastAsiaTheme="minorHAnsi"/>
          <w:szCs w:val="24"/>
          <w:lang w:eastAsia="en-US"/>
        </w:rPr>
        <w:t>case registry and a database of mortality caused by disaster</w:t>
      </w:r>
      <w:r w:rsidR="00AD5D5A">
        <w:rPr>
          <w:rFonts w:eastAsiaTheme="minorHAnsi"/>
          <w:szCs w:val="24"/>
          <w:lang w:eastAsia="en-US"/>
        </w:rPr>
        <w:t xml:space="preserve"> </w:t>
      </w:r>
      <w:r w:rsidR="00AD5D5A" w:rsidRPr="00AD5D5A">
        <w:rPr>
          <w:rFonts w:eastAsiaTheme="minorHAnsi"/>
          <w:szCs w:val="24"/>
          <w:lang w:eastAsia="en-US"/>
        </w:rPr>
        <w:t>in order to improve the prevention of morbidity and mortality”</w:t>
      </w:r>
      <w:r w:rsidR="00AD5D5A">
        <w:rPr>
          <w:rFonts w:eastAsiaTheme="minorHAnsi"/>
          <w:szCs w:val="24"/>
          <w:lang w:eastAsia="en-US"/>
        </w:rPr>
        <w:t>.</w:t>
      </w:r>
      <w:r w:rsidR="00AD5D5A">
        <w:rPr>
          <w:rFonts w:eastAsiaTheme="minorHAnsi"/>
          <w:szCs w:val="24"/>
          <w:vertAlign w:val="superscript"/>
          <w:lang w:eastAsia="en-US"/>
        </w:rPr>
        <w:t>1</w:t>
      </w:r>
      <w:r w:rsidR="00AD5D5A" w:rsidRPr="00AD5D5A">
        <w:rPr>
          <w:szCs w:val="24"/>
        </w:rPr>
        <w:t xml:space="preserve"> </w:t>
      </w:r>
    </w:p>
    <w:p w:rsidR="000C78F6" w:rsidRDefault="000C78F6" w:rsidP="000C78F6">
      <w:pPr>
        <w:autoSpaceDE w:val="0"/>
        <w:autoSpaceDN w:val="0"/>
        <w:adjustRightInd w:val="0"/>
        <w:spacing w:line="360" w:lineRule="auto"/>
        <w:rPr>
          <w:rFonts w:asciiTheme="minorHAnsi" w:hAnsiTheme="minorHAnsi"/>
          <w:b/>
        </w:rPr>
      </w:pPr>
    </w:p>
    <w:p w:rsidR="00ED4754" w:rsidRDefault="000C78F6" w:rsidP="00ED4754">
      <w:pPr>
        <w:contextualSpacing/>
        <w:jc w:val="both"/>
        <w:rPr>
          <w:b/>
        </w:rPr>
      </w:pPr>
      <w:r>
        <w:rPr>
          <w:noProof/>
          <w:lang w:val="en-US"/>
        </w:rPr>
        <w:lastRenderedPageBreak/>
        <w:drawing>
          <wp:inline distT="0" distB="0" distL="0" distR="0" wp14:anchorId="77BF797E" wp14:editId="07A4BD21">
            <wp:extent cx="5648325" cy="2962275"/>
            <wp:effectExtent l="0" t="0" r="9525" b="9525"/>
            <wp:docPr id="1" name="Picture 1" descr="cid:image002.jpg@01D4710B.CB3DF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4710B.CB3DF0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648325" cy="2962275"/>
                    </a:xfrm>
                    <a:prstGeom prst="rect">
                      <a:avLst/>
                    </a:prstGeom>
                    <a:noFill/>
                    <a:ln>
                      <a:noFill/>
                    </a:ln>
                  </pic:spPr>
                </pic:pic>
              </a:graphicData>
            </a:graphic>
          </wp:inline>
        </w:drawing>
      </w:r>
    </w:p>
    <w:p w:rsidR="000C78F6" w:rsidRPr="000C78F6" w:rsidRDefault="000C78F6" w:rsidP="000C78F6">
      <w:pPr>
        <w:jc w:val="right"/>
        <w:rPr>
          <w:rFonts w:asciiTheme="minorHAnsi" w:hAnsiTheme="minorHAnsi"/>
          <w:b/>
          <w:color w:val="000000" w:themeColor="text1"/>
          <w:sz w:val="18"/>
          <w:szCs w:val="18"/>
        </w:rPr>
      </w:pPr>
      <w:r w:rsidRPr="000C78F6">
        <w:rPr>
          <w:rFonts w:asciiTheme="minorHAnsi" w:hAnsiTheme="minorHAnsi"/>
          <w:b/>
          <w:color w:val="000000" w:themeColor="text1"/>
          <w:sz w:val="18"/>
          <w:szCs w:val="18"/>
        </w:rPr>
        <w:t xml:space="preserve">Figure </w:t>
      </w:r>
      <w:r w:rsidR="00685407">
        <w:rPr>
          <w:rFonts w:asciiTheme="minorHAnsi" w:hAnsiTheme="minorHAnsi"/>
          <w:b/>
          <w:color w:val="000000" w:themeColor="text1"/>
          <w:sz w:val="18"/>
          <w:szCs w:val="18"/>
        </w:rPr>
        <w:t>2</w:t>
      </w:r>
      <w:r w:rsidRPr="000C78F6">
        <w:rPr>
          <w:rFonts w:asciiTheme="minorHAnsi" w:hAnsiTheme="minorHAnsi"/>
          <w:b/>
          <w:color w:val="000000" w:themeColor="text1"/>
          <w:sz w:val="18"/>
          <w:szCs w:val="18"/>
        </w:rPr>
        <w:t xml:space="preserve">. Civil Registration </w:t>
      </w:r>
      <w:r w:rsidR="001A3D38" w:rsidRPr="000C78F6">
        <w:rPr>
          <w:rFonts w:asciiTheme="minorHAnsi" w:hAnsiTheme="minorHAnsi"/>
          <w:b/>
          <w:color w:val="000000" w:themeColor="text1"/>
          <w:sz w:val="18"/>
          <w:szCs w:val="18"/>
        </w:rPr>
        <w:t>Coverage</w:t>
      </w:r>
      <w:r w:rsidRPr="000C78F6">
        <w:rPr>
          <w:rFonts w:asciiTheme="minorHAnsi" w:hAnsiTheme="minorHAnsi"/>
          <w:b/>
          <w:color w:val="000000" w:themeColor="text1"/>
          <w:sz w:val="18"/>
          <w:szCs w:val="18"/>
        </w:rPr>
        <w:t xml:space="preserve"> of Cause of Death (%) 2004-2012</w:t>
      </w:r>
    </w:p>
    <w:p w:rsidR="000C78F6" w:rsidRDefault="000C78F6" w:rsidP="00ED4754">
      <w:pPr>
        <w:jc w:val="both"/>
        <w:rPr>
          <w:color w:val="FF0000"/>
        </w:rPr>
      </w:pPr>
    </w:p>
    <w:p w:rsidR="000C78F6" w:rsidRDefault="000C78F6" w:rsidP="00ED4754">
      <w:pPr>
        <w:jc w:val="both"/>
        <w:rPr>
          <w:color w:val="FF0000"/>
        </w:rPr>
      </w:pPr>
    </w:p>
    <w:p w:rsidR="002168AB" w:rsidRDefault="002168AB" w:rsidP="002168AB">
      <w:pPr>
        <w:contextualSpacing/>
        <w:jc w:val="both"/>
      </w:pPr>
      <w:r>
        <w:t>Some of the common challenges countries may come across when monitoring and reporting data following a hazardous e</w:t>
      </w:r>
      <w:r w:rsidR="00452C76">
        <w:t>vent are demonstrated in Table 1</w:t>
      </w:r>
      <w:r>
        <w:t>.</w:t>
      </w:r>
    </w:p>
    <w:p w:rsidR="002168AB" w:rsidRDefault="002168AB" w:rsidP="002168AB">
      <w:pPr>
        <w:contextualSpacing/>
        <w:jc w:val="both"/>
        <w:sectPr w:rsidR="002168AB" w:rsidSect="002168A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pPr>
    </w:p>
    <w:p w:rsidR="00EB70B7" w:rsidRDefault="00EB70B7" w:rsidP="00EB70B7">
      <w:pPr>
        <w:spacing w:line="360" w:lineRule="auto"/>
      </w:pPr>
      <w:r>
        <w:rPr>
          <w:rFonts w:asciiTheme="minorHAnsi" w:hAnsiTheme="minorHAnsi"/>
        </w:rPr>
        <w:lastRenderedPageBreak/>
        <w:t>Table 1: Common Challenges</w:t>
      </w:r>
    </w:p>
    <w:tbl>
      <w:tblPr>
        <w:tblStyle w:val="LightGrid-Accent1"/>
        <w:tblW w:w="5162" w:type="pct"/>
        <w:tblInd w:w="-459" w:type="dxa"/>
        <w:tblLook w:val="04A0" w:firstRow="1" w:lastRow="0" w:firstColumn="1" w:lastColumn="0" w:noHBand="0" w:noVBand="1"/>
      </w:tblPr>
      <w:tblGrid>
        <w:gridCol w:w="2836"/>
        <w:gridCol w:w="4820"/>
        <w:gridCol w:w="6977"/>
      </w:tblGrid>
      <w:tr w:rsidR="00EB70B7" w:rsidRPr="009B4183" w:rsidTr="00685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9B4183">
              <w:rPr>
                <w:sz w:val="20"/>
                <w:szCs w:val="20"/>
              </w:rPr>
              <w:t>CHALLENGE</w:t>
            </w:r>
          </w:p>
        </w:tc>
        <w:tc>
          <w:tcPr>
            <w:tcW w:w="1647" w:type="pct"/>
            <w:vAlign w:val="center"/>
          </w:tcPr>
          <w:p w:rsidR="00EB70B7" w:rsidRPr="009B4183" w:rsidRDefault="00EB70B7" w:rsidP="007A7B8A">
            <w:pPr>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9B4183">
              <w:rPr>
                <w:sz w:val="20"/>
                <w:szCs w:val="20"/>
              </w:rPr>
              <w:t>PROBLEM</w:t>
            </w:r>
          </w:p>
        </w:tc>
        <w:tc>
          <w:tcPr>
            <w:tcW w:w="2384" w:type="pct"/>
            <w:vAlign w:val="center"/>
          </w:tcPr>
          <w:p w:rsidR="00EB70B7" w:rsidRPr="009B4183" w:rsidRDefault="00EB70B7" w:rsidP="007A7B8A">
            <w:pPr>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9B4183">
              <w:rPr>
                <w:sz w:val="20"/>
                <w:szCs w:val="20"/>
              </w:rPr>
              <w:t>SOLUTION</w:t>
            </w:r>
          </w:p>
        </w:tc>
      </w:tr>
      <w:tr w:rsidR="00EB70B7" w:rsidRPr="009B4183" w:rsidTr="0068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685407">
            <w:pPr>
              <w:ind w:left="-567" w:firstLine="567"/>
              <w:jc w:val="center"/>
              <w:rPr>
                <w:sz w:val="20"/>
                <w:szCs w:val="20"/>
              </w:rPr>
            </w:pPr>
            <w:r w:rsidRPr="009B4183">
              <w:rPr>
                <w:sz w:val="20"/>
                <w:szCs w:val="20"/>
              </w:rPr>
              <w:t>Temporal Dimension</w:t>
            </w:r>
          </w:p>
        </w:tc>
        <w:tc>
          <w:tcPr>
            <w:tcW w:w="1647" w:type="pct"/>
            <w:vAlign w:val="center"/>
          </w:tcPr>
          <w:p w:rsidR="00EB70B7" w:rsidRPr="009B4183"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9B4183">
              <w:rPr>
                <w:sz w:val="20"/>
                <w:szCs w:val="20"/>
              </w:rPr>
              <w:t>Defining the time period to monitor and measure data following a hazardous event can be challenging and will vary dependent on the nature of the event.</w:t>
            </w:r>
          </w:p>
        </w:tc>
        <w:tc>
          <w:tcPr>
            <w:tcW w:w="2384" w:type="pct"/>
            <w:vAlign w:val="center"/>
          </w:tcPr>
          <w:p w:rsidR="00EB70B7" w:rsidRDefault="004D691C" w:rsidP="004D691C">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sudden-impact natural hazards, t</w:t>
            </w:r>
            <w:r w:rsidR="00EB70B7" w:rsidRPr="009B4183">
              <w:rPr>
                <w:sz w:val="20"/>
                <w:szCs w:val="20"/>
              </w:rPr>
              <w:t xml:space="preserve">he UNISDR / </w:t>
            </w:r>
            <w:proofErr w:type="spellStart"/>
            <w:r w:rsidR="00EB70B7" w:rsidRPr="009B4183">
              <w:rPr>
                <w:sz w:val="20"/>
                <w:szCs w:val="20"/>
              </w:rPr>
              <w:t>DesInventar</w:t>
            </w:r>
            <w:proofErr w:type="spellEnd"/>
            <w:r w:rsidR="00EB70B7" w:rsidRPr="009B4183">
              <w:rPr>
                <w:sz w:val="20"/>
                <w:szCs w:val="20"/>
              </w:rPr>
              <w:t xml:space="preserve"> method suggests the date of appearance of first reports of damage can mark the beginning of the </w:t>
            </w:r>
            <w:r>
              <w:rPr>
                <w:sz w:val="20"/>
                <w:szCs w:val="20"/>
              </w:rPr>
              <w:t>event</w:t>
            </w:r>
            <w:r w:rsidR="00EB70B7" w:rsidRPr="009B4183">
              <w:rPr>
                <w:sz w:val="20"/>
                <w:szCs w:val="20"/>
              </w:rPr>
              <w:t xml:space="preserve"> and the date of the last report of physical damage associated with the event be taken as the end date. It also recommends annual reporting as a minimum for slow-onset disasters that span for more than one year.</w:t>
            </w:r>
          </w:p>
          <w:p w:rsidR="004D691C" w:rsidRPr="009D51E6" w:rsidRDefault="00582971" w:rsidP="0068540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685407">
              <w:rPr>
                <w:rFonts w:eastAsiaTheme="minorHAnsi"/>
                <w:bCs/>
                <w:sz w:val="20"/>
                <w:szCs w:val="20"/>
                <w:lang w:eastAsia="en-US"/>
              </w:rPr>
              <w:t>In the case of biological hazards</w:t>
            </w:r>
            <w:r w:rsidRPr="00685407">
              <w:rPr>
                <w:rFonts w:eastAsiaTheme="minorHAnsi"/>
                <w:sz w:val="20"/>
                <w:szCs w:val="20"/>
                <w:lang w:eastAsia="en-US"/>
              </w:rPr>
              <w:t>, an “event” is determined when the number of cases exceeds the agreed threshold of cases for the hazard, which is often context specific. Deaths must meet the case definition for the disease, and the end date is when the outbreak is declared over</w:t>
            </w:r>
            <w:r w:rsidR="00452C76">
              <w:rPr>
                <w:rFonts w:eastAsiaTheme="minorHAnsi"/>
                <w:sz w:val="20"/>
                <w:szCs w:val="20"/>
                <w:vertAlign w:val="superscript"/>
                <w:lang w:eastAsia="en-US"/>
              </w:rPr>
              <w:t>5</w:t>
            </w:r>
            <w:r w:rsidRPr="00685407">
              <w:rPr>
                <w:rFonts w:eastAsiaTheme="minorHAnsi"/>
                <w:sz w:val="20"/>
                <w:szCs w:val="20"/>
                <w:lang w:eastAsia="en-US"/>
              </w:rPr>
              <w:t>.</w:t>
            </w:r>
          </w:p>
        </w:tc>
      </w:tr>
      <w:tr w:rsidR="00EB70B7" w:rsidRPr="009B4183" w:rsidTr="0068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9B4183">
              <w:rPr>
                <w:sz w:val="20"/>
                <w:szCs w:val="20"/>
              </w:rPr>
              <w:t>Thresholds</w:t>
            </w:r>
          </w:p>
        </w:tc>
        <w:tc>
          <w:tcPr>
            <w:tcW w:w="1647" w:type="pct"/>
            <w:vAlign w:val="center"/>
          </w:tcPr>
          <w:p w:rsidR="00EB70B7" w:rsidRPr="009B4183" w:rsidRDefault="00EB70B7" w:rsidP="00582971">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9B4183">
              <w:rPr>
                <w:sz w:val="20"/>
                <w:szCs w:val="20"/>
              </w:rPr>
              <w:t>Deciding on set thresholds for monitoring following a hazardous event</w:t>
            </w:r>
            <w:r w:rsidR="00582971">
              <w:rPr>
                <w:sz w:val="20"/>
                <w:szCs w:val="20"/>
              </w:rPr>
              <w:t xml:space="preserve">, </w:t>
            </w:r>
            <w:r w:rsidR="00582971" w:rsidRPr="009B4183">
              <w:rPr>
                <w:sz w:val="20"/>
                <w:szCs w:val="20"/>
              </w:rPr>
              <w:t>classifying</w:t>
            </w:r>
            <w:r w:rsidRPr="009B4183">
              <w:rPr>
                <w:sz w:val="20"/>
                <w:szCs w:val="20"/>
              </w:rPr>
              <w:t xml:space="preserve"> what is a hazardous event</w:t>
            </w:r>
            <w:r w:rsidR="004D691C">
              <w:rPr>
                <w:sz w:val="20"/>
                <w:szCs w:val="20"/>
              </w:rPr>
              <w:t xml:space="preserve"> and determining categories of people or assets at risk of loss</w:t>
            </w:r>
            <w:r w:rsidRPr="009B4183">
              <w:rPr>
                <w:sz w:val="20"/>
                <w:szCs w:val="20"/>
              </w:rPr>
              <w:t xml:space="preserve">. </w:t>
            </w:r>
          </w:p>
        </w:tc>
        <w:tc>
          <w:tcPr>
            <w:tcW w:w="2384" w:type="pct"/>
            <w:vAlign w:val="center"/>
          </w:tcPr>
          <w:p w:rsidR="004D691C" w:rsidRDefault="004D691C" w:rsidP="004D691C">
            <w:pPr>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For example, </w:t>
            </w:r>
            <w:r w:rsidRPr="009B4183">
              <w:rPr>
                <w:sz w:val="20"/>
                <w:szCs w:val="20"/>
              </w:rPr>
              <w:t xml:space="preserve">1) </w:t>
            </w:r>
            <w:r w:rsidR="00582971" w:rsidRPr="009B4183">
              <w:rPr>
                <w:sz w:val="20"/>
                <w:szCs w:val="20"/>
              </w:rPr>
              <w:t>Determin</w:t>
            </w:r>
            <w:r w:rsidR="00582971">
              <w:rPr>
                <w:sz w:val="20"/>
                <w:szCs w:val="20"/>
              </w:rPr>
              <w:t xml:space="preserve">e </w:t>
            </w:r>
            <w:r w:rsidR="00582971" w:rsidRPr="009B4183">
              <w:rPr>
                <w:sz w:val="20"/>
                <w:szCs w:val="20"/>
              </w:rPr>
              <w:t>the</w:t>
            </w:r>
            <w:r w:rsidRPr="009B4183">
              <w:rPr>
                <w:sz w:val="20"/>
                <w:szCs w:val="20"/>
              </w:rPr>
              <w:t xml:space="preserve"> number of cases of an infectious disease that class as a ‘hazardous event’.</w:t>
            </w:r>
          </w:p>
          <w:p w:rsidR="00EB70B7" w:rsidRPr="009B4183" w:rsidRDefault="004D691C" w:rsidP="004D691C">
            <w:pPr>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 Decide</w:t>
            </w:r>
            <w:r w:rsidRPr="009B4183">
              <w:rPr>
                <w:sz w:val="20"/>
                <w:szCs w:val="20"/>
              </w:rPr>
              <w:t xml:space="preserve"> age categories for aggregation of </w:t>
            </w:r>
            <w:r w:rsidR="00582971" w:rsidRPr="009B4183">
              <w:rPr>
                <w:sz w:val="20"/>
                <w:szCs w:val="20"/>
              </w:rPr>
              <w:t>data. The</w:t>
            </w:r>
            <w:r w:rsidR="00EB70B7" w:rsidRPr="009B4183">
              <w:rPr>
                <w:sz w:val="20"/>
                <w:szCs w:val="20"/>
              </w:rPr>
              <w:t xml:space="preserve"> most important recommendation to countries is to emphasise that criteria should be fixed for the entire time span of data collection (2005-2030).  </w:t>
            </w:r>
          </w:p>
        </w:tc>
      </w:tr>
      <w:tr w:rsidR="00EB70B7" w:rsidRPr="009B4183" w:rsidTr="0068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9B4183">
              <w:rPr>
                <w:sz w:val="20"/>
                <w:szCs w:val="20"/>
              </w:rPr>
              <w:t>Attribution</w:t>
            </w:r>
          </w:p>
        </w:tc>
        <w:tc>
          <w:tcPr>
            <w:tcW w:w="1647" w:type="pct"/>
            <w:vAlign w:val="center"/>
          </w:tcPr>
          <w:p w:rsidR="00EB70B7" w:rsidRPr="009B4183"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9B4183">
              <w:rPr>
                <w:sz w:val="20"/>
                <w:szCs w:val="20"/>
              </w:rPr>
              <w:t>Deciding what to attribute to a hazardous event and determining what to class as both a direct and indirect effect.</w:t>
            </w:r>
          </w:p>
        </w:tc>
        <w:tc>
          <w:tcPr>
            <w:tcW w:w="2384" w:type="pct"/>
            <w:vAlign w:val="center"/>
          </w:tcPr>
          <w:p w:rsidR="00EB70B7" w:rsidRPr="009B4183"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685407">
              <w:rPr>
                <w:sz w:val="20"/>
                <w:szCs w:val="20"/>
              </w:rPr>
              <w:t>Facilitate statistical analysis to determine issues around attribution issues, consider working with resources such as academic partners as well as Offices of National Statistics to test attribution related issues and developing methods to capture the right information</w:t>
            </w:r>
          </w:p>
        </w:tc>
      </w:tr>
      <w:tr w:rsidR="00EB70B7" w:rsidRPr="009B4183" w:rsidTr="0068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9B4183">
              <w:rPr>
                <w:sz w:val="20"/>
                <w:szCs w:val="20"/>
              </w:rPr>
              <w:t>Data Coverage</w:t>
            </w:r>
          </w:p>
        </w:tc>
        <w:tc>
          <w:tcPr>
            <w:tcW w:w="1647" w:type="pct"/>
            <w:vAlign w:val="center"/>
          </w:tcPr>
          <w:p w:rsidR="00EB70B7" w:rsidRPr="009B4183" w:rsidRDefault="00EB70B7" w:rsidP="007A7B8A">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9B4183">
              <w:rPr>
                <w:sz w:val="20"/>
                <w:szCs w:val="20"/>
              </w:rPr>
              <w:t>Not all countries systematically collect disaster loss and damage data.</w:t>
            </w:r>
          </w:p>
        </w:tc>
        <w:tc>
          <w:tcPr>
            <w:tcW w:w="2384" w:type="pct"/>
            <w:vAlign w:val="center"/>
          </w:tcPr>
          <w:p w:rsidR="00EB70B7" w:rsidRPr="009B4183" w:rsidRDefault="00EB70B7" w:rsidP="007A7B8A">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9B4183">
              <w:rPr>
                <w:sz w:val="20"/>
                <w:szCs w:val="20"/>
              </w:rPr>
              <w:t>Consider undertaking archival work to recover records of disaster loss and damage since 2005 and then begin the systematic recording of all new loss.</w:t>
            </w:r>
          </w:p>
        </w:tc>
      </w:tr>
      <w:tr w:rsidR="00EB70B7" w:rsidRPr="009B4183" w:rsidTr="0068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9B4183">
              <w:rPr>
                <w:sz w:val="20"/>
                <w:szCs w:val="20"/>
              </w:rPr>
              <w:t>Validity</w:t>
            </w:r>
            <w:r>
              <w:rPr>
                <w:sz w:val="20"/>
                <w:szCs w:val="20"/>
              </w:rPr>
              <w:t xml:space="preserve"> a</w:t>
            </w:r>
            <w:r w:rsidRPr="009B4183">
              <w:rPr>
                <w:sz w:val="20"/>
                <w:szCs w:val="20"/>
              </w:rPr>
              <w:t>nd Bias</w:t>
            </w:r>
          </w:p>
        </w:tc>
        <w:tc>
          <w:tcPr>
            <w:tcW w:w="1647" w:type="pct"/>
            <w:vAlign w:val="center"/>
          </w:tcPr>
          <w:p w:rsidR="00EB70B7" w:rsidRPr="00685407"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685407">
              <w:rPr>
                <w:sz w:val="20"/>
                <w:szCs w:val="20"/>
              </w:rPr>
              <w:t>Does the data measure the issues identified accurately?</w:t>
            </w:r>
          </w:p>
        </w:tc>
        <w:tc>
          <w:tcPr>
            <w:tcW w:w="2384" w:type="pct"/>
            <w:vAlign w:val="center"/>
          </w:tcPr>
          <w:p w:rsidR="00EB70B7" w:rsidRPr="00685407"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685407">
              <w:rPr>
                <w:sz w:val="20"/>
                <w:szCs w:val="20"/>
              </w:rPr>
              <w:t>Engagement with data production process, its sources, caveats and limitations of data reported is important to improve management</w:t>
            </w:r>
          </w:p>
        </w:tc>
      </w:tr>
      <w:tr w:rsidR="00EB70B7" w:rsidRPr="009B4183" w:rsidTr="0068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Pr>
                <w:sz w:val="20"/>
                <w:szCs w:val="20"/>
              </w:rPr>
              <w:t>Precision and</w:t>
            </w:r>
            <w:r w:rsidRPr="009B4183">
              <w:rPr>
                <w:sz w:val="20"/>
                <w:szCs w:val="20"/>
              </w:rPr>
              <w:t xml:space="preserve"> Uncertainty </w:t>
            </w:r>
          </w:p>
        </w:tc>
        <w:tc>
          <w:tcPr>
            <w:tcW w:w="1647" w:type="pct"/>
            <w:vAlign w:val="center"/>
          </w:tcPr>
          <w:p w:rsidR="00EB70B7" w:rsidRPr="00685407" w:rsidRDefault="00EB70B7" w:rsidP="007A7B8A">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685407">
              <w:rPr>
                <w:sz w:val="20"/>
                <w:szCs w:val="20"/>
              </w:rPr>
              <w:t>Does the sample size permit statistical inference and are there rigorous to measure/quantify uncertainty?</w:t>
            </w:r>
          </w:p>
        </w:tc>
        <w:tc>
          <w:tcPr>
            <w:tcW w:w="2384" w:type="pct"/>
            <w:vAlign w:val="center"/>
          </w:tcPr>
          <w:p w:rsidR="00EB70B7" w:rsidRPr="00685407" w:rsidRDefault="00EB70B7" w:rsidP="007A7B8A">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685407">
              <w:rPr>
                <w:sz w:val="20"/>
                <w:szCs w:val="20"/>
              </w:rPr>
              <w:t>Facilitate statistical analysis to determine issues around precision and uncertainty issues, consider working with resources such as academic partners as well as Offices of National Statistics to test these issues</w:t>
            </w:r>
          </w:p>
        </w:tc>
      </w:tr>
      <w:tr w:rsidR="00EB70B7" w:rsidRPr="009B4183" w:rsidTr="0068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9B4183">
              <w:rPr>
                <w:sz w:val="20"/>
                <w:szCs w:val="20"/>
              </w:rPr>
              <w:t>Double Counting</w:t>
            </w:r>
          </w:p>
        </w:tc>
        <w:tc>
          <w:tcPr>
            <w:tcW w:w="1647" w:type="pct"/>
            <w:vAlign w:val="center"/>
          </w:tcPr>
          <w:p w:rsidR="00EB70B7" w:rsidRPr="009B4183"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9B4183">
              <w:rPr>
                <w:sz w:val="20"/>
                <w:szCs w:val="20"/>
              </w:rPr>
              <w:t>Double counting is inevitable when monitoring certain targets. E.g. Target B – Affected people – People are likely to be counted twice if their property is damaged, and they are injured.</w:t>
            </w:r>
          </w:p>
        </w:tc>
        <w:tc>
          <w:tcPr>
            <w:tcW w:w="2384" w:type="pct"/>
            <w:vAlign w:val="center"/>
          </w:tcPr>
          <w:p w:rsidR="00EB70B7" w:rsidRPr="009B4183" w:rsidRDefault="00EB70B7" w:rsidP="007A7B8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9B4183">
              <w:rPr>
                <w:sz w:val="20"/>
                <w:szCs w:val="20"/>
              </w:rPr>
              <w:t>Using the suggested method and indicators will provide a robust and verifiable proxy of total number of affected</w:t>
            </w:r>
          </w:p>
        </w:tc>
      </w:tr>
      <w:tr w:rsidR="00EB70B7" w:rsidRPr="009B4183" w:rsidTr="0068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Align w:val="center"/>
          </w:tcPr>
          <w:p w:rsidR="00EB70B7" w:rsidRPr="009B4183" w:rsidRDefault="00EB70B7" w:rsidP="007A7B8A">
            <w:pPr>
              <w:contextualSpacing/>
              <w:jc w:val="center"/>
              <w:rPr>
                <w:sz w:val="20"/>
                <w:szCs w:val="20"/>
              </w:rPr>
            </w:pPr>
            <w:r w:rsidRPr="00685407">
              <w:rPr>
                <w:sz w:val="20"/>
                <w:szCs w:val="20"/>
              </w:rPr>
              <w:t>Timeliness</w:t>
            </w:r>
          </w:p>
        </w:tc>
        <w:tc>
          <w:tcPr>
            <w:tcW w:w="1647" w:type="pct"/>
            <w:vAlign w:val="center"/>
          </w:tcPr>
          <w:p w:rsidR="00EB70B7" w:rsidRPr="009B4183" w:rsidRDefault="00EB70B7" w:rsidP="007A7B8A">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9B4183">
              <w:rPr>
                <w:sz w:val="20"/>
                <w:szCs w:val="20"/>
              </w:rPr>
              <w:t>There is often a lag between when a hazardous event happens and when it is possible to submit data.</w:t>
            </w:r>
          </w:p>
        </w:tc>
        <w:tc>
          <w:tcPr>
            <w:tcW w:w="2384" w:type="pct"/>
            <w:vAlign w:val="center"/>
          </w:tcPr>
          <w:p w:rsidR="00EB70B7" w:rsidRPr="009B4183" w:rsidRDefault="00EB70B7" w:rsidP="007A7B8A">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685407">
              <w:rPr>
                <w:sz w:val="20"/>
                <w:szCs w:val="20"/>
              </w:rPr>
              <w:t>Routine data collection in a timely fashion facilitates early reporting but will require statistical analysis to determine issues around timeliness, consider working with resources such as academic partners as well as Offices of National Statistics to test these issues</w:t>
            </w:r>
          </w:p>
        </w:tc>
      </w:tr>
    </w:tbl>
    <w:p w:rsidR="00EB70B7" w:rsidRPr="002168AB" w:rsidRDefault="00EB70B7">
      <w:pPr>
        <w:tabs>
          <w:tab w:val="left" w:pos="2776"/>
          <w:tab w:val="left" w:pos="7765"/>
        </w:tabs>
        <w:contextualSpacing/>
        <w:rPr>
          <w:rFonts w:asciiTheme="minorHAnsi" w:hAnsiTheme="minorHAnsi"/>
          <w:szCs w:val="24"/>
        </w:rPr>
      </w:pPr>
      <w:r w:rsidRPr="002168AB">
        <w:rPr>
          <w:rFonts w:asciiTheme="minorHAnsi" w:hAnsiTheme="minorHAnsi"/>
          <w:szCs w:val="24"/>
        </w:rPr>
        <w:tab/>
      </w:r>
    </w:p>
    <w:p w:rsidR="00B61009" w:rsidRDefault="00B61009" w:rsidP="00E730AF">
      <w:pPr>
        <w:spacing w:line="360" w:lineRule="auto"/>
        <w:jc w:val="both"/>
        <w:rPr>
          <w:rFonts w:asciiTheme="minorHAnsi" w:hAnsiTheme="minorHAnsi"/>
        </w:rPr>
        <w:sectPr w:rsidR="00B61009" w:rsidSect="002168AB">
          <w:pgSz w:w="16838" w:h="11906" w:orient="landscape"/>
          <w:pgMar w:top="1440" w:right="1440" w:bottom="1440" w:left="1440" w:header="708" w:footer="708" w:gutter="0"/>
          <w:cols w:space="708"/>
          <w:docGrid w:linePitch="360"/>
        </w:sectPr>
      </w:pPr>
    </w:p>
    <w:p w:rsidR="00EB4815" w:rsidRPr="004C7325" w:rsidRDefault="00E730AF" w:rsidP="004C7325">
      <w:pPr>
        <w:jc w:val="both"/>
        <w:rPr>
          <w:color w:val="FF0000"/>
        </w:rPr>
      </w:pPr>
      <w:r w:rsidRPr="004C7325">
        <w:lastRenderedPageBreak/>
        <w:t>The main challenge for damage and loss data sharing and comparison is the lack of agreed technical standards</w:t>
      </w:r>
      <w:r w:rsidR="00452C76">
        <w:rPr>
          <w:vertAlign w:val="superscript"/>
        </w:rPr>
        <w:t>6</w:t>
      </w:r>
      <w:r w:rsidRPr="004C7325">
        <w:t>.</w:t>
      </w:r>
    </w:p>
    <w:p w:rsidR="0057006C" w:rsidRPr="004C7325" w:rsidRDefault="0057006C" w:rsidP="004C7325">
      <w:pPr>
        <w:pStyle w:val="ListParagraph"/>
        <w:jc w:val="both"/>
        <w:rPr>
          <w:b/>
          <w:color w:val="000000" w:themeColor="text1"/>
        </w:rPr>
      </w:pPr>
    </w:p>
    <w:p w:rsidR="00662958" w:rsidRPr="004C7325" w:rsidRDefault="00E730AF" w:rsidP="004C7325">
      <w:pPr>
        <w:jc w:val="both"/>
        <w:rPr>
          <w:color w:val="000000" w:themeColor="text1"/>
        </w:rPr>
      </w:pPr>
      <w:r w:rsidRPr="004C7325">
        <w:rPr>
          <w:color w:val="000000" w:themeColor="text1"/>
        </w:rPr>
        <w:t>Nonetheless, it is important to emphasise that no indicator will provide an absolutely precise, accurate and exhaustive measure disaster losses. It would be impossible to remove a level of uncertainty or inaccuracy from loss estimations, for which the sourcing of data is subject to the legal procedures and timeframe criteria of a specific country, as well as the exhaustiveness of data collection.</w:t>
      </w:r>
    </w:p>
    <w:p w:rsidR="00662958" w:rsidRPr="004C7325" w:rsidRDefault="00662958" w:rsidP="004C7325">
      <w:pPr>
        <w:jc w:val="both"/>
        <w:rPr>
          <w:color w:val="000000" w:themeColor="text1"/>
        </w:rPr>
      </w:pPr>
    </w:p>
    <w:p w:rsidR="00662958" w:rsidRDefault="005C4C21" w:rsidP="004C7325">
      <w:pPr>
        <w:jc w:val="both"/>
        <w:rPr>
          <w:color w:val="000000" w:themeColor="text1"/>
        </w:rPr>
      </w:pPr>
      <w:r>
        <w:rPr>
          <w:color w:val="000000" w:themeColor="text1"/>
        </w:rPr>
        <w:t>Table 2</w:t>
      </w:r>
      <w:r w:rsidR="00662958" w:rsidRPr="004C7325">
        <w:rPr>
          <w:color w:val="000000" w:themeColor="text1"/>
        </w:rPr>
        <w:t xml:space="preserve"> outlines some further challenges that can be associated with monitoring and reporting disaster data.  It explains some key criteria </w:t>
      </w:r>
      <w:r w:rsidR="00B61009" w:rsidRPr="004C7325">
        <w:rPr>
          <w:color w:val="000000" w:themeColor="text1"/>
        </w:rPr>
        <w:t>for disaggregation</w:t>
      </w:r>
      <w:r w:rsidR="00662958" w:rsidRPr="004C7325">
        <w:rPr>
          <w:color w:val="000000" w:themeColor="text1"/>
        </w:rPr>
        <w:t xml:space="preserve"> of data that </w:t>
      </w:r>
      <w:r w:rsidR="00FB5A06" w:rsidRPr="004C7325">
        <w:rPr>
          <w:color w:val="000000" w:themeColor="text1"/>
        </w:rPr>
        <w:t xml:space="preserve">should be considered when recording data, to ensure completeness. </w:t>
      </w:r>
    </w:p>
    <w:p w:rsidR="005C4C21" w:rsidRDefault="005C4C21" w:rsidP="004C7325">
      <w:pPr>
        <w:jc w:val="both"/>
        <w:rPr>
          <w:color w:val="000000" w:themeColor="text1"/>
        </w:rPr>
      </w:pPr>
    </w:p>
    <w:p w:rsidR="005C4C21" w:rsidRPr="004C7325" w:rsidRDefault="005C4C21" w:rsidP="004C7325">
      <w:pPr>
        <w:jc w:val="both"/>
        <w:rPr>
          <w:color w:val="000000" w:themeColor="text1"/>
        </w:rPr>
      </w:pPr>
      <w:r>
        <w:rPr>
          <w:color w:val="000000" w:themeColor="text1"/>
        </w:rPr>
        <w:t>Table 2: Further Challenges for Monitoring &amp; Reporting Disaster Data</w:t>
      </w:r>
    </w:p>
    <w:p w:rsidR="00ED4754" w:rsidRDefault="00ED4754" w:rsidP="00FB5A06">
      <w:pPr>
        <w:contextualSpacing/>
        <w:jc w:val="both"/>
      </w:pPr>
    </w:p>
    <w:tbl>
      <w:tblPr>
        <w:tblStyle w:val="LightGrid"/>
        <w:tblW w:w="5000" w:type="pct"/>
        <w:tblLayout w:type="fixed"/>
        <w:tblLook w:val="04A0" w:firstRow="1" w:lastRow="0" w:firstColumn="1" w:lastColumn="0" w:noHBand="0" w:noVBand="1"/>
      </w:tblPr>
      <w:tblGrid>
        <w:gridCol w:w="1155"/>
        <w:gridCol w:w="2778"/>
        <w:gridCol w:w="5309"/>
      </w:tblGrid>
      <w:tr w:rsidR="005C4C21" w:rsidRPr="0093165E" w:rsidTr="005C4C2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b w:val="0"/>
                <w:sz w:val="20"/>
                <w:szCs w:val="20"/>
              </w:rPr>
            </w:pPr>
            <w:r>
              <w:rPr>
                <w:sz w:val="20"/>
                <w:szCs w:val="20"/>
              </w:rPr>
              <w:t>Criteria</w:t>
            </w:r>
          </w:p>
        </w:tc>
        <w:tc>
          <w:tcPr>
            <w:tcW w:w="1503" w:type="pct"/>
          </w:tcPr>
          <w:p w:rsidR="005C4C21" w:rsidRPr="0057006C" w:rsidRDefault="005C4C21" w:rsidP="002A13BB">
            <w:pPr>
              <w:cnfStyle w:val="100000000000" w:firstRow="1" w:lastRow="0" w:firstColumn="0" w:lastColumn="0" w:oddVBand="0" w:evenVBand="0" w:oddHBand="0" w:evenHBand="0" w:firstRowFirstColumn="0" w:firstRowLastColumn="0" w:lastRowFirstColumn="0" w:lastRowLastColumn="0"/>
              <w:rPr>
                <w:sz w:val="20"/>
                <w:szCs w:val="20"/>
              </w:rPr>
            </w:pPr>
            <w:r w:rsidRPr="0057006C">
              <w:rPr>
                <w:sz w:val="20"/>
                <w:szCs w:val="20"/>
              </w:rPr>
              <w:t>Challenges</w:t>
            </w:r>
          </w:p>
        </w:tc>
        <w:tc>
          <w:tcPr>
            <w:tcW w:w="2872" w:type="pct"/>
          </w:tcPr>
          <w:p w:rsidR="005C4C21" w:rsidRPr="0057006C" w:rsidRDefault="005C4C21" w:rsidP="002A13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Possible Solutions</w:t>
            </w:r>
          </w:p>
        </w:tc>
      </w:tr>
      <w:tr w:rsidR="005C4C21" w:rsidRPr="0093165E" w:rsidTr="005C4C2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sz w:val="20"/>
                <w:szCs w:val="20"/>
              </w:rPr>
            </w:pPr>
            <w:r w:rsidRPr="0093165E">
              <w:rPr>
                <w:sz w:val="20"/>
                <w:szCs w:val="20"/>
              </w:rPr>
              <w:t>Hazard</w:t>
            </w:r>
          </w:p>
        </w:tc>
        <w:tc>
          <w:tcPr>
            <w:tcW w:w="1503" w:type="pct"/>
          </w:tcPr>
          <w:p w:rsidR="005C4C21" w:rsidRPr="007F2625"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Different taxonomies in use. </w:t>
            </w:r>
          </w:p>
        </w:tc>
        <w:tc>
          <w:tcPr>
            <w:tcW w:w="2872" w:type="pct"/>
          </w:tcPr>
          <w:p w:rsidR="005C4C21"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WHO Hazard Classification for guidance or Sendai Framework Monitoring National Focal points. </w:t>
            </w:r>
          </w:p>
          <w:p w:rsidR="005C4C21" w:rsidRDefault="005C4C21" w:rsidP="002A13BB">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AA2169">
              <w:rPr>
                <w:rFonts w:ascii="Arial" w:hAnsi="Arial" w:cs="Arial"/>
                <w:sz w:val="20"/>
                <w:szCs w:val="20"/>
              </w:rPr>
              <w:t xml:space="preserve">Classification defined in the </w:t>
            </w:r>
            <w:hyperlink r:id="rId19" w:history="1">
              <w:r w:rsidRPr="00AA2169">
                <w:rPr>
                  <w:rStyle w:val="Hyperlink"/>
                  <w:rFonts w:ascii="Arial" w:hAnsi="Arial" w:cs="Arial"/>
                  <w:color w:val="auto"/>
                  <w:sz w:val="20"/>
                  <w:szCs w:val="20"/>
                </w:rPr>
                <w:t>United Nations General Assembly resolution A\71\644.</w:t>
              </w:r>
            </w:hyperlink>
          </w:p>
        </w:tc>
      </w:tr>
      <w:tr w:rsidR="005C4C21" w:rsidRPr="0093165E" w:rsidTr="005C4C2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sz w:val="20"/>
                <w:szCs w:val="20"/>
              </w:rPr>
            </w:pPr>
            <w:r w:rsidRPr="0093165E">
              <w:rPr>
                <w:sz w:val="20"/>
                <w:szCs w:val="20"/>
              </w:rPr>
              <w:t>Geography</w:t>
            </w:r>
          </w:p>
        </w:tc>
        <w:tc>
          <w:tcPr>
            <w:tcW w:w="1503" w:type="pct"/>
          </w:tcPr>
          <w:p w:rsidR="005C4C21"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sidRPr="007F2625">
              <w:rPr>
                <w:sz w:val="20"/>
                <w:szCs w:val="20"/>
              </w:rPr>
              <w:t>Geographical boundaries are not always static.</w:t>
            </w:r>
          </w:p>
          <w:p w:rsidR="005C4C21" w:rsidRPr="007F2625"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p>
        </w:tc>
        <w:tc>
          <w:tcPr>
            <w:tcW w:w="2872" w:type="pct"/>
          </w:tcPr>
          <w:p w:rsidR="005C4C21"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sidRPr="007F2625">
              <w:rPr>
                <w:sz w:val="20"/>
                <w:szCs w:val="20"/>
              </w:rPr>
              <w:t xml:space="preserve">Ideally by sub-national administrative unit, similar or equivalent to municipality. </w:t>
            </w:r>
            <w:hyperlink r:id="rId20" w:history="1">
              <w:r w:rsidRPr="00E42EA9">
                <w:rPr>
                  <w:rStyle w:val="Hyperlink"/>
                  <w:sz w:val="20"/>
                  <w:szCs w:val="20"/>
                </w:rPr>
                <w:t>See Results of informal consultation on indicators for global targets</w:t>
              </w:r>
            </w:hyperlink>
            <w:r w:rsidRPr="007F2625">
              <w:rPr>
                <w:sz w:val="20"/>
                <w:szCs w:val="20"/>
              </w:rPr>
              <w:t xml:space="preserve">. </w:t>
            </w:r>
          </w:p>
          <w:p w:rsidR="005C4C21" w:rsidRPr="007F2625"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sidRPr="00E42EA9">
              <w:rPr>
                <w:color w:val="000000"/>
                <w:sz w:val="20"/>
                <w:szCs w:val="20"/>
              </w:rPr>
              <w:t>Example: INSPIRE Administrative Units Theme</w:t>
            </w:r>
            <w:r w:rsidRPr="00E42EA9">
              <w:rPr>
                <w:color w:val="000000"/>
                <w:sz w:val="20"/>
                <w:szCs w:val="20"/>
                <w:u w:val="single"/>
              </w:rPr>
              <w:t xml:space="preserve"> (</w:t>
            </w:r>
            <w:hyperlink r:id="rId21" w:history="1">
              <w:r w:rsidRPr="00E42EA9">
                <w:rPr>
                  <w:rStyle w:val="Hyperlink"/>
                  <w:sz w:val="20"/>
                  <w:szCs w:val="20"/>
                </w:rPr>
                <w:t>http://inspire-regadmin.jrc.ec.europa.eu/dataspecification/ThemeOverview.action?themeId1=au</w:t>
              </w:r>
            </w:hyperlink>
            <w:r w:rsidRPr="00E42EA9">
              <w:rPr>
                <w:color w:val="000000"/>
                <w:sz w:val="20"/>
                <w:szCs w:val="20"/>
                <w:u w:val="single"/>
              </w:rPr>
              <w:t>)</w:t>
            </w:r>
          </w:p>
        </w:tc>
      </w:tr>
      <w:tr w:rsidR="005C4C21" w:rsidRPr="0093165E" w:rsidTr="005C4C2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sz w:val="20"/>
                <w:szCs w:val="20"/>
              </w:rPr>
            </w:pPr>
            <w:r w:rsidRPr="0093165E">
              <w:rPr>
                <w:sz w:val="20"/>
                <w:szCs w:val="20"/>
              </w:rPr>
              <w:t>Income</w:t>
            </w:r>
          </w:p>
        </w:tc>
        <w:tc>
          <w:tcPr>
            <w:tcW w:w="1503" w:type="pct"/>
          </w:tcPr>
          <w:p w:rsidR="005C4C21" w:rsidRPr="007F2625"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sidRPr="007F2625">
              <w:rPr>
                <w:sz w:val="20"/>
                <w:szCs w:val="20"/>
              </w:rPr>
              <w:t>Treatment of non-monetary transactions such as services of housewives to families. Difficult to record impact on informal economy.</w:t>
            </w:r>
          </w:p>
        </w:tc>
        <w:tc>
          <w:tcPr>
            <w:tcW w:w="2872" w:type="pct"/>
          </w:tcPr>
          <w:p w:rsidR="005C4C21" w:rsidRPr="007F2625"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w:t>
            </w:r>
            <w:r w:rsidRPr="007F2625">
              <w:rPr>
                <w:sz w:val="20"/>
                <w:szCs w:val="20"/>
              </w:rPr>
              <w:t xml:space="preserve">se of the </w:t>
            </w:r>
            <w:r w:rsidRPr="007F2625">
              <w:rPr>
                <w:b/>
                <w:sz w:val="20"/>
                <w:szCs w:val="20"/>
              </w:rPr>
              <w:t>international poverty line.</w:t>
            </w:r>
            <w:r w:rsidRPr="005C4C21">
              <w:rPr>
                <w:rStyle w:val="EndnoteReference"/>
              </w:rPr>
              <w:endnoteReference w:id="1"/>
            </w:r>
            <w:r w:rsidR="008453FD">
              <w:rPr>
                <w:b/>
                <w:sz w:val="20"/>
                <w:szCs w:val="20"/>
              </w:rPr>
              <w:t xml:space="preserve"> and other means of disaggregating levels of income.</w:t>
            </w:r>
          </w:p>
        </w:tc>
      </w:tr>
      <w:tr w:rsidR="005C4C21" w:rsidRPr="0093165E" w:rsidTr="005C4C2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sz w:val="20"/>
                <w:szCs w:val="20"/>
              </w:rPr>
            </w:pPr>
            <w:r w:rsidRPr="0093165E">
              <w:rPr>
                <w:sz w:val="20"/>
                <w:szCs w:val="20"/>
              </w:rPr>
              <w:t>Sex</w:t>
            </w:r>
          </w:p>
        </w:tc>
        <w:tc>
          <w:tcPr>
            <w:tcW w:w="1503" w:type="pct"/>
          </w:tcPr>
          <w:p w:rsidR="005C4C21" w:rsidRPr="007F2625"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Vulnerability, exposure and consequence data should be disaggregated by sex. T</w:t>
            </w:r>
            <w:r w:rsidRPr="007F2625">
              <w:rPr>
                <w:sz w:val="20"/>
                <w:szCs w:val="20"/>
              </w:rPr>
              <w:t>here are genders which do not fall directly into either category.</w:t>
            </w:r>
          </w:p>
        </w:tc>
        <w:tc>
          <w:tcPr>
            <w:tcW w:w="2872" w:type="pct"/>
          </w:tcPr>
          <w:p w:rsidR="005C4C21" w:rsidRPr="007F2625" w:rsidRDefault="005C4C21" w:rsidP="002A13BB">
            <w:pPr>
              <w:autoSpaceDE w:val="0"/>
              <w:autoSpaceDN w:val="0"/>
              <w:adjustRightInd w:val="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D</w:t>
            </w:r>
            <w:r w:rsidRPr="007F2625">
              <w:rPr>
                <w:sz w:val="20"/>
                <w:szCs w:val="20"/>
              </w:rPr>
              <w:t xml:space="preserve">isaggregation by </w:t>
            </w:r>
            <w:r w:rsidRPr="007F2625">
              <w:rPr>
                <w:b/>
                <w:sz w:val="20"/>
                <w:szCs w:val="20"/>
              </w:rPr>
              <w:t>women/men</w:t>
            </w:r>
          </w:p>
          <w:p w:rsidR="005C4C21"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sidRPr="007F2625">
              <w:rPr>
                <w:b/>
                <w:sz w:val="20"/>
                <w:szCs w:val="20"/>
              </w:rPr>
              <w:t xml:space="preserve">Example: </w:t>
            </w:r>
            <w:hyperlink r:id="rId22" w:history="1">
              <w:r w:rsidRPr="0093165E">
                <w:rPr>
                  <w:rStyle w:val="Hyperlink"/>
                  <w:sz w:val="20"/>
                  <w:szCs w:val="20"/>
                </w:rPr>
                <w:t>ECLAC</w:t>
              </w:r>
            </w:hyperlink>
          </w:p>
        </w:tc>
      </w:tr>
      <w:tr w:rsidR="005C4C21" w:rsidRPr="0093165E" w:rsidTr="005C4C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sz w:val="20"/>
                <w:szCs w:val="20"/>
              </w:rPr>
            </w:pPr>
            <w:r w:rsidRPr="0093165E">
              <w:rPr>
                <w:sz w:val="20"/>
                <w:szCs w:val="20"/>
              </w:rPr>
              <w:t>Age</w:t>
            </w:r>
          </w:p>
        </w:tc>
        <w:tc>
          <w:tcPr>
            <w:tcW w:w="1503" w:type="pct"/>
          </w:tcPr>
          <w:p w:rsidR="005C4C21" w:rsidRPr="007F2625"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Pr="007F2625">
              <w:rPr>
                <w:sz w:val="20"/>
                <w:szCs w:val="20"/>
              </w:rPr>
              <w:t>any different age classifications are in use</w:t>
            </w:r>
            <w:r>
              <w:rPr>
                <w:sz w:val="20"/>
                <w:szCs w:val="20"/>
              </w:rPr>
              <w:t>.</w:t>
            </w:r>
          </w:p>
        </w:tc>
        <w:tc>
          <w:tcPr>
            <w:tcW w:w="2872" w:type="pct"/>
          </w:tcPr>
          <w:p w:rsidR="005C4C21" w:rsidRPr="007F2625" w:rsidRDefault="005C4C21" w:rsidP="002A13BB">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D</w:t>
            </w:r>
            <w:r w:rsidRPr="007F2625">
              <w:rPr>
                <w:sz w:val="20"/>
                <w:szCs w:val="20"/>
              </w:rPr>
              <w:t xml:space="preserve">isaggregation by </w:t>
            </w:r>
            <w:r w:rsidRPr="007F2625">
              <w:rPr>
                <w:b/>
                <w:sz w:val="20"/>
                <w:szCs w:val="20"/>
              </w:rPr>
              <w:t>children, adults and older people.</w:t>
            </w:r>
          </w:p>
          <w:p w:rsidR="005C4C21" w:rsidRPr="007F2625"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sidRPr="007F2625">
              <w:rPr>
                <w:sz w:val="20"/>
                <w:szCs w:val="20"/>
              </w:rPr>
              <w:t xml:space="preserve">Children – 0 to 14 years; Adults – 15 to 64 years; Older People – 65+ years.  </w:t>
            </w:r>
          </w:p>
          <w:p w:rsidR="005C4C21" w:rsidRDefault="005C4C21" w:rsidP="002A13BB">
            <w:pPr>
              <w:cnfStyle w:val="000000100000" w:firstRow="0" w:lastRow="0" w:firstColumn="0" w:lastColumn="0" w:oddVBand="0" w:evenVBand="0" w:oddHBand="1" w:evenHBand="0" w:firstRowFirstColumn="0" w:firstRowLastColumn="0" w:lastRowFirstColumn="0" w:lastRowLastColumn="0"/>
              <w:rPr>
                <w:sz w:val="20"/>
                <w:szCs w:val="20"/>
              </w:rPr>
            </w:pPr>
            <w:r w:rsidRPr="007F2625">
              <w:rPr>
                <w:b/>
                <w:sz w:val="20"/>
                <w:szCs w:val="20"/>
              </w:rPr>
              <w:t xml:space="preserve">Example: </w:t>
            </w:r>
            <w:hyperlink r:id="rId23" w:history="1">
              <w:r w:rsidRPr="0093165E">
                <w:rPr>
                  <w:rStyle w:val="Hyperlink"/>
                  <w:sz w:val="20"/>
                  <w:szCs w:val="20"/>
                </w:rPr>
                <w:t>ECLAC</w:t>
              </w:r>
            </w:hyperlink>
          </w:p>
        </w:tc>
      </w:tr>
      <w:tr w:rsidR="005C4C21" w:rsidRPr="0093165E" w:rsidTr="005C4C21">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25" w:type="pct"/>
          </w:tcPr>
          <w:p w:rsidR="005C4C21" w:rsidRPr="0093165E" w:rsidRDefault="005C4C21" w:rsidP="002A13BB">
            <w:pPr>
              <w:rPr>
                <w:sz w:val="20"/>
                <w:szCs w:val="20"/>
              </w:rPr>
            </w:pPr>
            <w:r w:rsidRPr="0093165E">
              <w:rPr>
                <w:sz w:val="20"/>
                <w:szCs w:val="20"/>
              </w:rPr>
              <w:t>Disability</w:t>
            </w:r>
          </w:p>
        </w:tc>
        <w:tc>
          <w:tcPr>
            <w:tcW w:w="1503" w:type="pct"/>
          </w:tcPr>
          <w:p w:rsidR="005C4C21" w:rsidRPr="007F2625"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sidRPr="007F2625">
              <w:rPr>
                <w:sz w:val="20"/>
                <w:szCs w:val="20"/>
              </w:rPr>
              <w:t>Wide spectrum of disabilities so difficult to sub-classify for reporting.</w:t>
            </w:r>
          </w:p>
        </w:tc>
        <w:tc>
          <w:tcPr>
            <w:tcW w:w="2872" w:type="pct"/>
          </w:tcPr>
          <w:p w:rsidR="005C4C21" w:rsidRPr="007F2625" w:rsidRDefault="005C4C21" w:rsidP="002A13B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w:t>
            </w:r>
            <w:r w:rsidRPr="007F2625">
              <w:rPr>
                <w:sz w:val="20"/>
                <w:szCs w:val="20"/>
              </w:rPr>
              <w:t xml:space="preserve">ropose the category: </w:t>
            </w:r>
            <w:r w:rsidRPr="007F2625">
              <w:rPr>
                <w:b/>
                <w:bCs/>
                <w:sz w:val="20"/>
                <w:szCs w:val="20"/>
              </w:rPr>
              <w:t>People with disabilities</w:t>
            </w:r>
            <w:r w:rsidRPr="007F2625">
              <w:rPr>
                <w:sz w:val="20"/>
                <w:szCs w:val="20"/>
              </w:rPr>
              <w:t>.</w:t>
            </w:r>
          </w:p>
        </w:tc>
      </w:tr>
    </w:tbl>
    <w:p w:rsidR="005C4C21" w:rsidRPr="005C4C21" w:rsidRDefault="005C4C21">
      <w:pPr>
        <w:rPr>
          <w:sz w:val="16"/>
          <w:szCs w:val="16"/>
        </w:rPr>
      </w:pPr>
      <w:r>
        <w:rPr>
          <w:sz w:val="16"/>
          <w:szCs w:val="16"/>
          <w:vertAlign w:val="superscript"/>
        </w:rPr>
        <w:t xml:space="preserve">I </w:t>
      </w:r>
      <w:r w:rsidRPr="005C4C21">
        <w:rPr>
          <w:sz w:val="16"/>
          <w:szCs w:val="16"/>
        </w:rPr>
        <w:t xml:space="preserve">World bank (2017) Poverty headcount ratio at $1.90 a day (2011 PPP) (% of population). Available at </w:t>
      </w:r>
      <w:hyperlink r:id="rId24" w:history="1">
        <w:r w:rsidRPr="005C4C21">
          <w:rPr>
            <w:rStyle w:val="Hyperlink"/>
            <w:sz w:val="16"/>
            <w:szCs w:val="16"/>
          </w:rPr>
          <w:t>http://data.worldbank.org/topic/poverty</w:t>
        </w:r>
      </w:hyperlink>
      <w:r w:rsidRPr="005C4C21">
        <w:rPr>
          <w:sz w:val="16"/>
          <w:szCs w:val="16"/>
        </w:rPr>
        <w:t xml:space="preserve"> [Retrieved 22 February 2017]</w:t>
      </w:r>
    </w:p>
    <w:p w:rsidR="00ED4754" w:rsidRDefault="00ED4754" w:rsidP="00ED4754">
      <w:pPr>
        <w:rPr>
          <w:b/>
        </w:rPr>
      </w:pPr>
    </w:p>
    <w:p w:rsidR="00662958" w:rsidRDefault="00662958" w:rsidP="004C7325">
      <w:pPr>
        <w:jc w:val="both"/>
        <w:rPr>
          <w:color w:val="000000" w:themeColor="text1"/>
        </w:rPr>
      </w:pPr>
      <w:r w:rsidRPr="004C7325">
        <w:rPr>
          <w:color w:val="000000" w:themeColor="text1"/>
        </w:rPr>
        <w:t>An overview of the qualities of goo</w:t>
      </w:r>
      <w:r w:rsidR="005C4C21">
        <w:rPr>
          <w:color w:val="000000" w:themeColor="text1"/>
        </w:rPr>
        <w:t>d data can be seen in Appendix B</w:t>
      </w:r>
      <w:r w:rsidRPr="004C7325">
        <w:rPr>
          <w:color w:val="000000" w:themeColor="text1"/>
        </w:rPr>
        <w:t xml:space="preserve">. </w:t>
      </w:r>
    </w:p>
    <w:p w:rsidR="00AD5C9E" w:rsidRDefault="00AD5C9E" w:rsidP="004C7325">
      <w:pPr>
        <w:jc w:val="both"/>
        <w:rPr>
          <w:rFonts w:ascii="Helvetica" w:hAnsi="Helvetica" w:cs="Helvetica"/>
          <w:color w:val="3B3B3B"/>
          <w:shd w:val="clear" w:color="auto" w:fill="FFFFFF"/>
        </w:rPr>
      </w:pPr>
    </w:p>
    <w:p w:rsidR="00AD5C9E" w:rsidRDefault="00AD5C9E" w:rsidP="00AD5C9E">
      <w:pPr>
        <w:jc w:val="both"/>
        <w:rPr>
          <w:b/>
          <w:color w:val="000000" w:themeColor="text1"/>
        </w:rPr>
      </w:pPr>
      <w:r>
        <w:rPr>
          <w:b/>
          <w:color w:val="000000" w:themeColor="text1"/>
        </w:rPr>
        <w:t>Key steps in monitoring and report</w:t>
      </w:r>
      <w:r w:rsidR="00582971">
        <w:rPr>
          <w:b/>
          <w:color w:val="000000" w:themeColor="text1"/>
        </w:rPr>
        <w:t>ing of</w:t>
      </w:r>
      <w:r>
        <w:rPr>
          <w:b/>
          <w:color w:val="000000" w:themeColor="text1"/>
        </w:rPr>
        <w:t xml:space="preserve"> health data for the Sendai Framework </w:t>
      </w:r>
    </w:p>
    <w:p w:rsidR="00AD5C9E" w:rsidRDefault="00AD5C9E" w:rsidP="00AD5C9E">
      <w:pPr>
        <w:jc w:val="both"/>
        <w:rPr>
          <w:b/>
          <w:color w:val="000000" w:themeColor="text1"/>
        </w:rPr>
      </w:pPr>
    </w:p>
    <w:p w:rsidR="00AD5C9E" w:rsidRPr="000F5BB8" w:rsidRDefault="008C34E6" w:rsidP="00AD5C9E">
      <w:pPr>
        <w:jc w:val="both"/>
        <w:rPr>
          <w:bCs/>
          <w:color w:val="000000" w:themeColor="text1"/>
          <w:u w:val="single"/>
        </w:rPr>
      </w:pPr>
      <w:r>
        <w:rPr>
          <w:bCs/>
          <w:color w:val="000000" w:themeColor="text1"/>
          <w:u w:val="single"/>
        </w:rPr>
        <w:t>Process</w:t>
      </w:r>
    </w:p>
    <w:p w:rsidR="004D691C" w:rsidRPr="00582971" w:rsidRDefault="00AD5C9E" w:rsidP="00582971">
      <w:pPr>
        <w:pStyle w:val="ListParagraph"/>
        <w:numPr>
          <w:ilvl w:val="0"/>
          <w:numId w:val="18"/>
        </w:numPr>
        <w:jc w:val="both"/>
        <w:rPr>
          <w:bCs/>
          <w:color w:val="000000" w:themeColor="text1"/>
        </w:rPr>
      </w:pPr>
      <w:r w:rsidRPr="004D691C">
        <w:rPr>
          <w:bCs/>
          <w:color w:val="000000" w:themeColor="text1"/>
        </w:rPr>
        <w:t>Identify and engage with the Sendai Framework Monitor National Focal Poin</w:t>
      </w:r>
      <w:r w:rsidR="00AD5D5A">
        <w:rPr>
          <w:bCs/>
          <w:color w:val="000000" w:themeColor="text1"/>
        </w:rPr>
        <w:t>t</w:t>
      </w:r>
      <w:r w:rsidR="00582971" w:rsidRPr="00582971">
        <w:rPr>
          <w:bCs/>
          <w:color w:val="000000" w:themeColor="text1"/>
        </w:rPr>
        <w:t xml:space="preserve"> </w:t>
      </w:r>
      <w:r w:rsidR="00582971" w:rsidRPr="00963026">
        <w:rPr>
          <w:bCs/>
          <w:color w:val="000000" w:themeColor="text1"/>
        </w:rPr>
        <w:t>Obtain</w:t>
      </w:r>
      <w:r w:rsidR="00582971">
        <w:rPr>
          <w:bCs/>
          <w:color w:val="000000" w:themeColor="text1"/>
        </w:rPr>
        <w:t>ing</w:t>
      </w:r>
      <w:r w:rsidR="00582971" w:rsidRPr="00963026">
        <w:rPr>
          <w:bCs/>
          <w:color w:val="000000" w:themeColor="text1"/>
        </w:rPr>
        <w:t xml:space="preserve"> and comply</w:t>
      </w:r>
      <w:r w:rsidR="00582971">
        <w:rPr>
          <w:bCs/>
          <w:color w:val="000000" w:themeColor="text1"/>
        </w:rPr>
        <w:t>ing</w:t>
      </w:r>
      <w:r w:rsidR="00582971" w:rsidRPr="00963026">
        <w:rPr>
          <w:bCs/>
          <w:color w:val="000000" w:themeColor="text1"/>
        </w:rPr>
        <w:t xml:space="preserve"> with timetables for reporting</w:t>
      </w:r>
      <w:r w:rsidR="004D691C" w:rsidRPr="00582971">
        <w:rPr>
          <w:bCs/>
          <w:color w:val="000000" w:themeColor="text1"/>
        </w:rPr>
        <w:t>…</w:t>
      </w:r>
    </w:p>
    <w:p w:rsidR="00AD5C9E" w:rsidRDefault="00AD5C9E" w:rsidP="004D691C">
      <w:pPr>
        <w:pStyle w:val="ListParagraph"/>
        <w:numPr>
          <w:ilvl w:val="0"/>
          <w:numId w:val="18"/>
        </w:numPr>
        <w:jc w:val="both"/>
        <w:rPr>
          <w:bCs/>
          <w:color w:val="000000" w:themeColor="text1"/>
        </w:rPr>
      </w:pPr>
      <w:r>
        <w:rPr>
          <w:bCs/>
          <w:color w:val="000000" w:themeColor="text1"/>
        </w:rPr>
        <w:lastRenderedPageBreak/>
        <w:t xml:space="preserve">Identify </w:t>
      </w:r>
      <w:r w:rsidR="004D691C">
        <w:rPr>
          <w:bCs/>
          <w:color w:val="000000" w:themeColor="text1"/>
        </w:rPr>
        <w:t xml:space="preserve">a </w:t>
      </w:r>
      <w:r>
        <w:rPr>
          <w:bCs/>
          <w:color w:val="000000" w:themeColor="text1"/>
        </w:rPr>
        <w:t xml:space="preserve">health focal point for Sendai </w:t>
      </w:r>
      <w:r w:rsidR="00582971">
        <w:rPr>
          <w:bCs/>
          <w:color w:val="000000" w:themeColor="text1"/>
        </w:rPr>
        <w:t>Framework</w:t>
      </w:r>
      <w:r>
        <w:rPr>
          <w:bCs/>
          <w:color w:val="000000" w:themeColor="text1"/>
        </w:rPr>
        <w:t xml:space="preserve"> </w:t>
      </w:r>
      <w:r w:rsidR="00582971">
        <w:rPr>
          <w:bCs/>
          <w:color w:val="000000" w:themeColor="text1"/>
        </w:rPr>
        <w:t>monitoring</w:t>
      </w:r>
      <w:r w:rsidR="004D691C">
        <w:rPr>
          <w:bCs/>
          <w:color w:val="000000" w:themeColor="text1"/>
        </w:rPr>
        <w:t xml:space="preserve"> and </w:t>
      </w:r>
      <w:r>
        <w:rPr>
          <w:bCs/>
          <w:color w:val="000000" w:themeColor="text1"/>
        </w:rPr>
        <w:t xml:space="preserve">reporting </w:t>
      </w:r>
    </w:p>
    <w:p w:rsidR="00AD5C9E" w:rsidRDefault="00AD5C9E" w:rsidP="004D691C">
      <w:pPr>
        <w:pStyle w:val="ListParagraph"/>
        <w:numPr>
          <w:ilvl w:val="0"/>
          <w:numId w:val="18"/>
        </w:numPr>
        <w:jc w:val="both"/>
        <w:rPr>
          <w:bCs/>
          <w:color w:val="000000" w:themeColor="text1"/>
        </w:rPr>
      </w:pPr>
      <w:r w:rsidRPr="004D691C">
        <w:rPr>
          <w:bCs/>
          <w:color w:val="000000" w:themeColor="text1"/>
        </w:rPr>
        <w:t>Agree the methods to be used in health related Sendai Framework monitoring and reporting</w:t>
      </w:r>
    </w:p>
    <w:p w:rsidR="00AD5C9E" w:rsidRDefault="004D691C" w:rsidP="004D691C">
      <w:pPr>
        <w:pStyle w:val="ListParagraph"/>
        <w:numPr>
          <w:ilvl w:val="0"/>
          <w:numId w:val="18"/>
        </w:numPr>
        <w:jc w:val="both"/>
        <w:rPr>
          <w:bCs/>
          <w:color w:val="000000" w:themeColor="text1"/>
        </w:rPr>
      </w:pPr>
      <w:r>
        <w:rPr>
          <w:bCs/>
          <w:color w:val="000000" w:themeColor="text1"/>
        </w:rPr>
        <w:t>Develop, implement and review pl</w:t>
      </w:r>
      <w:r w:rsidR="00AD5C9E">
        <w:rPr>
          <w:bCs/>
          <w:color w:val="000000" w:themeColor="text1"/>
        </w:rPr>
        <w:t>an</w:t>
      </w:r>
      <w:r>
        <w:rPr>
          <w:bCs/>
          <w:color w:val="000000" w:themeColor="text1"/>
        </w:rPr>
        <w:t>s for Sendai Framework monitoring and reporting by the health sector</w:t>
      </w:r>
    </w:p>
    <w:p w:rsidR="00582971" w:rsidRPr="004D691C" w:rsidRDefault="00582971" w:rsidP="00582971">
      <w:pPr>
        <w:pStyle w:val="ListParagraph"/>
        <w:numPr>
          <w:ilvl w:val="0"/>
          <w:numId w:val="18"/>
        </w:numPr>
        <w:jc w:val="both"/>
        <w:rPr>
          <w:bCs/>
          <w:color w:val="000000" w:themeColor="text1"/>
        </w:rPr>
      </w:pPr>
      <w:r>
        <w:rPr>
          <w:bCs/>
          <w:color w:val="000000" w:themeColor="text1"/>
        </w:rPr>
        <w:t>Where possible, e</w:t>
      </w:r>
      <w:r w:rsidRPr="004D691C">
        <w:rPr>
          <w:bCs/>
          <w:color w:val="000000" w:themeColor="text1"/>
        </w:rPr>
        <w:t>ngage in the process of SDG reporting</w:t>
      </w:r>
      <w:r>
        <w:rPr>
          <w:bCs/>
          <w:color w:val="000000" w:themeColor="text1"/>
        </w:rPr>
        <w:t xml:space="preserve"> with the national office for statistics</w:t>
      </w:r>
    </w:p>
    <w:p w:rsidR="00AD5C9E" w:rsidRDefault="00AD5C9E" w:rsidP="004D691C">
      <w:pPr>
        <w:pStyle w:val="ListParagraph"/>
        <w:jc w:val="both"/>
        <w:rPr>
          <w:bCs/>
          <w:color w:val="000000" w:themeColor="text1"/>
        </w:rPr>
      </w:pPr>
    </w:p>
    <w:p w:rsidR="00AD5C9E" w:rsidRPr="000F5BB8" w:rsidRDefault="00AD5C9E" w:rsidP="00AD5C9E">
      <w:pPr>
        <w:jc w:val="both"/>
        <w:rPr>
          <w:bCs/>
          <w:color w:val="000000" w:themeColor="text1"/>
          <w:u w:val="single"/>
        </w:rPr>
      </w:pPr>
      <w:r w:rsidRPr="000F5BB8">
        <w:rPr>
          <w:bCs/>
          <w:color w:val="000000" w:themeColor="text1"/>
          <w:u w:val="single"/>
        </w:rPr>
        <w:t>Capacity development</w:t>
      </w:r>
    </w:p>
    <w:p w:rsidR="00AD5C9E" w:rsidRDefault="00AD5C9E" w:rsidP="00AD5C9E">
      <w:pPr>
        <w:pStyle w:val="ListParagraph"/>
        <w:numPr>
          <w:ilvl w:val="0"/>
          <w:numId w:val="18"/>
        </w:numPr>
        <w:jc w:val="both"/>
        <w:rPr>
          <w:bCs/>
          <w:color w:val="000000" w:themeColor="text1"/>
        </w:rPr>
      </w:pPr>
      <w:r w:rsidRPr="00DE1DBC">
        <w:rPr>
          <w:bCs/>
          <w:color w:val="000000" w:themeColor="text1"/>
        </w:rPr>
        <w:t>Raise awareness of Sendai Framework targets and indicators</w:t>
      </w:r>
      <w:r w:rsidR="004D691C">
        <w:rPr>
          <w:bCs/>
          <w:color w:val="000000" w:themeColor="text1"/>
        </w:rPr>
        <w:t xml:space="preserve"> within the health sector and the monitoring and reporting requirements</w:t>
      </w:r>
    </w:p>
    <w:p w:rsidR="00AD5C9E" w:rsidRPr="00DE1DBC" w:rsidRDefault="00AD5C9E" w:rsidP="00AD5C9E">
      <w:pPr>
        <w:pStyle w:val="ListParagraph"/>
        <w:numPr>
          <w:ilvl w:val="0"/>
          <w:numId w:val="18"/>
        </w:numPr>
        <w:jc w:val="both"/>
        <w:rPr>
          <w:bCs/>
          <w:color w:val="000000" w:themeColor="text1"/>
        </w:rPr>
      </w:pPr>
      <w:r>
        <w:rPr>
          <w:bCs/>
          <w:color w:val="000000" w:themeColor="text1"/>
        </w:rPr>
        <w:t xml:space="preserve">Conduct national and sub-national training on </w:t>
      </w:r>
      <w:r w:rsidRPr="00DE1DBC">
        <w:rPr>
          <w:bCs/>
          <w:color w:val="000000" w:themeColor="text1"/>
        </w:rPr>
        <w:t>methods to improve monitoring and reporting</w:t>
      </w:r>
      <w:r w:rsidR="004D691C">
        <w:rPr>
          <w:bCs/>
          <w:color w:val="000000" w:themeColor="text1"/>
        </w:rPr>
        <w:t xml:space="preserve"> on Sendai targets</w:t>
      </w:r>
      <w:r w:rsidRPr="00DE1DBC">
        <w:rPr>
          <w:bCs/>
          <w:color w:val="000000" w:themeColor="text1"/>
        </w:rPr>
        <w:t xml:space="preserve"> in the health sector</w:t>
      </w:r>
    </w:p>
    <w:p w:rsidR="00AD5C9E" w:rsidRDefault="004D691C" w:rsidP="00685407">
      <w:pPr>
        <w:pStyle w:val="ListParagraph"/>
        <w:numPr>
          <w:ilvl w:val="0"/>
          <w:numId w:val="18"/>
        </w:numPr>
        <w:jc w:val="both"/>
        <w:rPr>
          <w:bCs/>
          <w:color w:val="000000" w:themeColor="text1"/>
        </w:rPr>
      </w:pPr>
      <w:r>
        <w:rPr>
          <w:bCs/>
          <w:color w:val="000000" w:themeColor="text1"/>
        </w:rPr>
        <w:t>Strengthen national and sub-national capacities for c</w:t>
      </w:r>
      <w:r w:rsidR="00AD5C9E" w:rsidRPr="00AD5C9E">
        <w:rPr>
          <w:bCs/>
          <w:color w:val="000000" w:themeColor="text1"/>
        </w:rPr>
        <w:t xml:space="preserve">ivil registration and vital statistics </w:t>
      </w:r>
    </w:p>
    <w:p w:rsidR="00AD5C9E" w:rsidRDefault="004D691C" w:rsidP="00685407">
      <w:pPr>
        <w:pStyle w:val="ListParagraph"/>
        <w:numPr>
          <w:ilvl w:val="0"/>
          <w:numId w:val="18"/>
        </w:numPr>
        <w:jc w:val="both"/>
        <w:rPr>
          <w:bCs/>
          <w:color w:val="000000" w:themeColor="text1"/>
        </w:rPr>
      </w:pPr>
      <w:r>
        <w:rPr>
          <w:bCs/>
          <w:color w:val="000000" w:themeColor="text1"/>
        </w:rPr>
        <w:t>Develop national c</w:t>
      </w:r>
      <w:r w:rsidR="00AD5C9E" w:rsidRPr="00AD5C9E">
        <w:rPr>
          <w:bCs/>
          <w:color w:val="000000" w:themeColor="text1"/>
        </w:rPr>
        <w:t>ase registr</w:t>
      </w:r>
      <w:r>
        <w:rPr>
          <w:bCs/>
          <w:color w:val="000000" w:themeColor="text1"/>
        </w:rPr>
        <w:t xml:space="preserve">ies </w:t>
      </w:r>
    </w:p>
    <w:p w:rsidR="004D691C" w:rsidRPr="004D691C" w:rsidRDefault="00D60418" w:rsidP="00D60418">
      <w:pPr>
        <w:pStyle w:val="ListParagraph"/>
        <w:numPr>
          <w:ilvl w:val="0"/>
          <w:numId w:val="18"/>
        </w:numPr>
        <w:jc w:val="both"/>
        <w:rPr>
          <w:bCs/>
          <w:color w:val="000000" w:themeColor="text1"/>
        </w:rPr>
      </w:pPr>
      <w:r>
        <w:rPr>
          <w:bCs/>
          <w:color w:val="000000" w:themeColor="text1"/>
        </w:rPr>
        <w:t>Develop m</w:t>
      </w:r>
      <w:r w:rsidR="004D691C">
        <w:rPr>
          <w:bCs/>
          <w:color w:val="000000" w:themeColor="text1"/>
        </w:rPr>
        <w:t>ethods to attribute health-related mortality and morbidity to hazardous events</w:t>
      </w:r>
    </w:p>
    <w:p w:rsidR="00C06A7C" w:rsidRPr="004C7325" w:rsidRDefault="00C06A7C" w:rsidP="004C7325">
      <w:pPr>
        <w:jc w:val="both"/>
        <w:rPr>
          <w:color w:val="000000" w:themeColor="text1"/>
        </w:rPr>
      </w:pPr>
    </w:p>
    <w:p w:rsidR="004C7325" w:rsidRPr="004C7325" w:rsidRDefault="004C7325" w:rsidP="004C7325">
      <w:pPr>
        <w:jc w:val="both"/>
        <w:rPr>
          <w:b/>
          <w:color w:val="000000" w:themeColor="text1"/>
        </w:rPr>
      </w:pPr>
      <w:r w:rsidRPr="004C7325">
        <w:rPr>
          <w:b/>
          <w:color w:val="000000" w:themeColor="text1"/>
        </w:rPr>
        <w:t>References</w:t>
      </w:r>
    </w:p>
    <w:p w:rsidR="004C7325" w:rsidRDefault="004C7325" w:rsidP="004C7325">
      <w:pPr>
        <w:jc w:val="both"/>
        <w:rPr>
          <w:color w:val="000000" w:themeColor="text1"/>
        </w:rPr>
      </w:pPr>
    </w:p>
    <w:p w:rsidR="002C625B" w:rsidRDefault="002C625B" w:rsidP="0086392D">
      <w:pPr>
        <w:pStyle w:val="ListParagraph"/>
        <w:numPr>
          <w:ilvl w:val="0"/>
          <w:numId w:val="17"/>
        </w:numPr>
        <w:ind w:left="426" w:hanging="426"/>
      </w:pPr>
      <w:r w:rsidRPr="00F77C97">
        <w:t xml:space="preserve">UNISDR (United Nations International Strategy for Disaster Reduction). 2015b. Sendai framework for disaster risk reduction 2015–2030.  Available at: </w:t>
      </w:r>
      <w:hyperlink r:id="rId25" w:history="1">
        <w:r w:rsidRPr="00F77C97">
          <w:rPr>
            <w:rStyle w:val="Hyperlink"/>
          </w:rPr>
          <w:t>http://www.unisdr.org/files/43291_sendaiframeworkfordrren.pdf</w:t>
        </w:r>
      </w:hyperlink>
      <w:r w:rsidRPr="00F77C97">
        <w:t xml:space="preserve"> [Accessed 21st February 2017]</w:t>
      </w:r>
    </w:p>
    <w:p w:rsidR="009575AE" w:rsidRPr="009575AE" w:rsidRDefault="009575AE" w:rsidP="0086392D">
      <w:pPr>
        <w:pStyle w:val="ListParagraph"/>
        <w:numPr>
          <w:ilvl w:val="0"/>
          <w:numId w:val="17"/>
        </w:numPr>
        <w:ind w:left="426" w:hanging="426"/>
        <w:rPr>
          <w:rStyle w:val="Hyperlink"/>
          <w:szCs w:val="24"/>
          <w:u w:val="none"/>
        </w:rPr>
      </w:pPr>
      <w:r w:rsidRPr="009575AE">
        <w:rPr>
          <w:szCs w:val="24"/>
        </w:rPr>
        <w:t xml:space="preserve">General Assembly resolution 71/644, Report of the open-ended intergovernmental expert working group on indicators and terminology relating to disaster risk reduction, A/71/644 (1 December 2016) Available at: </w:t>
      </w:r>
      <w:hyperlink r:id="rId26" w:history="1">
        <w:r w:rsidRPr="009575AE">
          <w:rPr>
            <w:rStyle w:val="Hyperlink"/>
            <w:szCs w:val="24"/>
          </w:rPr>
          <w:t>http://www.preventionweb.net/files/50683_oiewgreportenglish.pdf</w:t>
        </w:r>
      </w:hyperlink>
    </w:p>
    <w:p w:rsidR="0086392D" w:rsidRPr="0086392D" w:rsidRDefault="0086392D" w:rsidP="0086392D">
      <w:pPr>
        <w:pStyle w:val="FootnoteText"/>
        <w:numPr>
          <w:ilvl w:val="0"/>
          <w:numId w:val="17"/>
        </w:numPr>
        <w:ind w:left="426" w:hanging="426"/>
        <w:jc w:val="left"/>
        <w:rPr>
          <w:rFonts w:ascii="Arial" w:hAnsi="Arial" w:cs="Arial"/>
          <w:sz w:val="24"/>
          <w:szCs w:val="24"/>
        </w:rPr>
      </w:pPr>
      <w:r w:rsidRPr="0086392D">
        <w:rPr>
          <w:rFonts w:ascii="Arial" w:hAnsi="Arial" w:cs="Arial"/>
          <w:sz w:val="24"/>
          <w:szCs w:val="24"/>
        </w:rPr>
        <w:t xml:space="preserve">Clarke, L., Blanchard, K., Maini, R., </w:t>
      </w:r>
      <w:proofErr w:type="spellStart"/>
      <w:r w:rsidRPr="0086392D">
        <w:rPr>
          <w:rFonts w:ascii="Arial" w:hAnsi="Arial" w:cs="Arial"/>
          <w:sz w:val="24"/>
          <w:szCs w:val="24"/>
        </w:rPr>
        <w:t>Radu</w:t>
      </w:r>
      <w:proofErr w:type="spellEnd"/>
      <w:r w:rsidRPr="0086392D">
        <w:rPr>
          <w:rFonts w:ascii="Arial" w:hAnsi="Arial" w:cs="Arial"/>
          <w:sz w:val="24"/>
          <w:szCs w:val="24"/>
        </w:rPr>
        <w:t xml:space="preserve"> A., Zaidi, A., &amp; Murray, V. (2018) “Knowing What we Know – Reflections on the development of Technical Guidance for Loss Data for the Sendai Framework for Disaster Risk Reduction”  </w:t>
      </w:r>
      <w:r w:rsidRPr="0086392D">
        <w:rPr>
          <w:rFonts w:ascii="Arial" w:hAnsi="Arial" w:cs="Arial"/>
          <w:i/>
          <w:sz w:val="24"/>
          <w:szCs w:val="24"/>
        </w:rPr>
        <w:t>PLOS Current Disasters</w:t>
      </w:r>
      <w:r w:rsidRPr="0086392D">
        <w:rPr>
          <w:rFonts w:ascii="Arial" w:hAnsi="Arial" w:cs="Arial"/>
          <w:sz w:val="24"/>
          <w:szCs w:val="24"/>
        </w:rPr>
        <w:t xml:space="preserve"> Available at: </w:t>
      </w:r>
      <w:hyperlink r:id="rId27" w:history="1">
        <w:r w:rsidRPr="0086392D">
          <w:rPr>
            <w:rStyle w:val="Hyperlink"/>
            <w:rFonts w:ascii="Arial" w:hAnsi="Arial" w:cs="Arial"/>
            <w:sz w:val="24"/>
            <w:szCs w:val="24"/>
          </w:rPr>
          <w:t>http://currents.plos.org/disasters/index.html%3Fp=36974.html</w:t>
        </w:r>
      </w:hyperlink>
      <w:r w:rsidRPr="0086392D">
        <w:rPr>
          <w:rFonts w:ascii="Arial" w:hAnsi="Arial" w:cs="Arial"/>
          <w:sz w:val="24"/>
          <w:szCs w:val="24"/>
        </w:rPr>
        <w:t xml:space="preserve"> [Accessed 13 November 2018]</w:t>
      </w:r>
    </w:p>
    <w:p w:rsidR="00F7133C" w:rsidRPr="0025402A" w:rsidRDefault="00F7133C" w:rsidP="00F7133C">
      <w:pPr>
        <w:pStyle w:val="ListParagraph"/>
        <w:numPr>
          <w:ilvl w:val="0"/>
          <w:numId w:val="17"/>
        </w:numPr>
        <w:ind w:left="426" w:hanging="426"/>
        <w:rPr>
          <w:color w:val="000000" w:themeColor="text1"/>
        </w:rPr>
      </w:pPr>
      <w:r w:rsidRPr="0025402A">
        <w:t xml:space="preserve">Green Paper. </w:t>
      </w:r>
      <w:r w:rsidRPr="0025402A">
        <w:rPr>
          <w:bCs/>
        </w:rPr>
        <w:t xml:space="preserve">Increasing Availability, Quality, and Accessibility of Common and Fundamental Operational Datasets to Support Disaster Risk Reduction and Emergency Management in the Philippines (2014) </w:t>
      </w:r>
      <w:r w:rsidRPr="0025402A">
        <w:t xml:space="preserve">Available at: </w:t>
      </w:r>
      <w:hyperlink r:id="rId28" w:history="1">
        <w:r w:rsidRPr="0025402A">
          <w:rPr>
            <w:rStyle w:val="Hyperlink"/>
          </w:rPr>
          <w:t>http://www.gaia-geosystems.org/PROJECTS/SIIEM/PHL/Green_Paper_DSWD-SIIEM_305014.pdf</w:t>
        </w:r>
      </w:hyperlink>
      <w:r w:rsidRPr="0025402A">
        <w:t xml:space="preserve"> [Accessed 22nd February 2017]</w:t>
      </w:r>
    </w:p>
    <w:p w:rsidR="00F7133C" w:rsidRPr="00452C76" w:rsidRDefault="00F7133C" w:rsidP="00F7133C">
      <w:pPr>
        <w:pStyle w:val="FootnoteText"/>
        <w:numPr>
          <w:ilvl w:val="0"/>
          <w:numId w:val="17"/>
        </w:numPr>
        <w:ind w:left="426" w:hanging="426"/>
        <w:jc w:val="left"/>
        <w:rPr>
          <w:rFonts w:ascii="Arial" w:hAnsi="Arial" w:cs="Arial"/>
          <w:sz w:val="24"/>
          <w:szCs w:val="24"/>
        </w:rPr>
      </w:pPr>
      <w:r w:rsidRPr="00F7133C">
        <w:rPr>
          <w:rFonts w:ascii="Arial" w:eastAsiaTheme="minorHAnsi" w:hAnsi="Arial" w:cs="Arial"/>
          <w:bCs/>
          <w:color w:val="auto"/>
          <w:sz w:val="24"/>
          <w:szCs w:val="24"/>
          <w:lang w:eastAsia="en-US"/>
        </w:rPr>
        <w:t>UNISDR Technical Guidance for Monitoring and Reporting on Progress in Achieving the Global Targets of the Sendai Framework for Disaster Risk Reduction</w:t>
      </w:r>
      <w:r w:rsidRPr="00F7133C">
        <w:rPr>
          <w:rFonts w:ascii="Arial" w:eastAsiaTheme="minorHAnsi" w:hAnsi="Arial" w:cs="Arial"/>
          <w:b/>
          <w:bCs/>
          <w:color w:val="auto"/>
          <w:sz w:val="24"/>
          <w:szCs w:val="24"/>
          <w:lang w:eastAsia="en-US"/>
        </w:rPr>
        <w:t xml:space="preserve"> </w:t>
      </w:r>
      <w:r w:rsidRPr="00F7133C">
        <w:rPr>
          <w:rFonts w:ascii="Arial" w:eastAsiaTheme="minorHAnsi" w:hAnsi="Arial" w:cs="Arial"/>
          <w:color w:val="auto"/>
          <w:sz w:val="24"/>
          <w:szCs w:val="24"/>
          <w:lang w:eastAsia="en-US"/>
        </w:rPr>
        <w:t xml:space="preserve">Collection of Technical Notes on Data and Methodology </w:t>
      </w:r>
      <w:r>
        <w:rPr>
          <w:rFonts w:ascii="Arial" w:eastAsiaTheme="minorHAnsi" w:hAnsi="Arial" w:cs="Arial"/>
          <w:color w:val="auto"/>
          <w:sz w:val="24"/>
          <w:szCs w:val="24"/>
          <w:lang w:eastAsia="en-US"/>
        </w:rPr>
        <w:t>(</w:t>
      </w:r>
      <w:r w:rsidRPr="00F7133C">
        <w:rPr>
          <w:rFonts w:ascii="Arial" w:eastAsiaTheme="minorHAnsi" w:hAnsi="Arial" w:cs="Arial"/>
          <w:color w:val="auto"/>
          <w:sz w:val="24"/>
          <w:szCs w:val="24"/>
          <w:lang w:eastAsia="en-US"/>
        </w:rPr>
        <w:t>2017</w:t>
      </w:r>
      <w:r>
        <w:rPr>
          <w:rFonts w:ascii="Arial" w:eastAsiaTheme="minorHAnsi" w:hAnsi="Arial" w:cs="Arial"/>
          <w:color w:val="auto"/>
          <w:sz w:val="24"/>
          <w:szCs w:val="24"/>
          <w:lang w:eastAsia="en-US"/>
        </w:rPr>
        <w:t>)</w:t>
      </w:r>
      <w:r w:rsidRPr="00F7133C">
        <w:rPr>
          <w:rFonts w:ascii="Arial" w:eastAsiaTheme="minorHAnsi" w:hAnsi="Arial" w:cs="Arial"/>
          <w:color w:val="auto"/>
          <w:sz w:val="24"/>
          <w:szCs w:val="24"/>
          <w:lang w:eastAsia="en-US"/>
        </w:rPr>
        <w:t xml:space="preserve"> Available </w:t>
      </w:r>
      <w:hyperlink r:id="rId29" w:history="1">
        <w:r w:rsidRPr="00F7133C">
          <w:rPr>
            <w:rStyle w:val="Hyperlink"/>
            <w:rFonts w:ascii="Arial" w:eastAsiaTheme="minorHAnsi" w:hAnsi="Arial" w:cs="Arial"/>
            <w:sz w:val="24"/>
            <w:szCs w:val="24"/>
            <w:lang w:eastAsia="en-US"/>
          </w:rPr>
          <w:t>https://www.unisdr.org/files/54970_techguidancefdigitalhr.pdf</w:t>
        </w:r>
      </w:hyperlink>
      <w:r w:rsidRPr="00F7133C">
        <w:rPr>
          <w:rFonts w:ascii="Arial" w:eastAsiaTheme="minorHAnsi" w:hAnsi="Arial" w:cs="Arial"/>
          <w:color w:val="auto"/>
          <w:sz w:val="24"/>
          <w:szCs w:val="24"/>
          <w:lang w:eastAsia="en-US"/>
        </w:rPr>
        <w:t xml:space="preserve">  </w:t>
      </w:r>
      <w:r w:rsidRPr="00F7133C">
        <w:rPr>
          <w:rFonts w:ascii="Arial" w:eastAsia="Arial" w:hAnsi="Arial" w:cs="Arial"/>
          <w:color w:val="auto"/>
          <w:sz w:val="24"/>
          <w:szCs w:val="24"/>
          <w:lang w:eastAsia="zh-CN"/>
        </w:rPr>
        <w:t>[Accessed 15 November 2018]</w:t>
      </w:r>
    </w:p>
    <w:p w:rsidR="00452C76" w:rsidRPr="00F7133C" w:rsidRDefault="00452C76" w:rsidP="00F7133C">
      <w:pPr>
        <w:pStyle w:val="FootnoteText"/>
        <w:numPr>
          <w:ilvl w:val="0"/>
          <w:numId w:val="17"/>
        </w:numPr>
        <w:ind w:left="426" w:hanging="426"/>
        <w:jc w:val="left"/>
        <w:rPr>
          <w:rFonts w:ascii="Arial" w:hAnsi="Arial" w:cs="Arial"/>
          <w:sz w:val="24"/>
          <w:szCs w:val="24"/>
        </w:rPr>
      </w:pPr>
      <w:r w:rsidRPr="00AF05D5">
        <w:rPr>
          <w:rFonts w:ascii="Arial" w:hAnsi="Arial" w:cs="Arial"/>
          <w:bCs/>
          <w:sz w:val="24"/>
          <w:szCs w:val="24"/>
        </w:rPr>
        <w:t>JRC: Guidance for Recording and Sharing Disaster Damage and Loss Data. Available at:</w:t>
      </w:r>
      <w:r w:rsidRPr="00AF05D5">
        <w:rPr>
          <w:rFonts w:ascii="Arial" w:hAnsi="Arial" w:cs="Arial"/>
          <w:sz w:val="24"/>
          <w:szCs w:val="24"/>
        </w:rPr>
        <w:t xml:space="preserve"> </w:t>
      </w:r>
      <w:hyperlink r:id="rId30" w:history="1">
        <w:r w:rsidRPr="00AF05D5">
          <w:rPr>
            <w:rStyle w:val="Hyperlink"/>
            <w:rFonts w:ascii="Arial" w:hAnsi="Arial" w:cs="Arial"/>
            <w:sz w:val="24"/>
            <w:szCs w:val="24"/>
          </w:rPr>
          <w:t>http://publications.jrc.ec.europa.eu/repository/bitstream/JRC95505/lbna27192enn.pdf</w:t>
        </w:r>
      </w:hyperlink>
      <w:r w:rsidRPr="00AF05D5">
        <w:rPr>
          <w:rFonts w:ascii="Arial" w:hAnsi="Arial" w:cs="Arial"/>
          <w:sz w:val="24"/>
          <w:szCs w:val="24"/>
        </w:rPr>
        <w:t xml:space="preserve"> [Accessed 22nd February 2017]</w:t>
      </w:r>
    </w:p>
    <w:p w:rsidR="00AF05D5" w:rsidRPr="00AF05D5" w:rsidRDefault="00AF05D5" w:rsidP="00452C76">
      <w:pPr>
        <w:pStyle w:val="FootnoteText"/>
        <w:ind w:left="567"/>
        <w:rPr>
          <w:rFonts w:ascii="Arial" w:hAnsi="Arial" w:cs="Arial"/>
          <w:sz w:val="24"/>
          <w:szCs w:val="24"/>
        </w:rPr>
      </w:pPr>
    </w:p>
    <w:p w:rsidR="00AF05D5" w:rsidRPr="004C7325" w:rsidRDefault="00AF05D5" w:rsidP="00AF05D5">
      <w:pPr>
        <w:rPr>
          <w:color w:val="000000" w:themeColor="text1"/>
        </w:rPr>
      </w:pPr>
      <w:r>
        <w:rPr>
          <w:rFonts w:asciiTheme="minorHAnsi" w:hAnsiTheme="minorHAnsi" w:cs="Rockwell"/>
          <w:bCs/>
        </w:rPr>
        <w:lastRenderedPageBreak/>
        <w:tab/>
      </w:r>
    </w:p>
    <w:p w:rsidR="00B61009" w:rsidRPr="008850F2" w:rsidRDefault="00B61009" w:rsidP="00F81CF1">
      <w:pPr>
        <w:jc w:val="both"/>
        <w:rPr>
          <w:color w:val="000000" w:themeColor="text1"/>
          <w:szCs w:val="24"/>
        </w:rPr>
      </w:pPr>
      <w:r w:rsidRPr="008850F2">
        <w:rPr>
          <w:color w:val="000000" w:themeColor="text1"/>
          <w:szCs w:val="24"/>
        </w:rPr>
        <w:t>The technical guidance notes have been developed by Public Health England</w:t>
      </w:r>
      <w:r w:rsidR="00AD5C9E">
        <w:rPr>
          <w:color w:val="000000" w:themeColor="text1"/>
          <w:szCs w:val="24"/>
        </w:rPr>
        <w:t xml:space="preserve"> and </w:t>
      </w:r>
      <w:r w:rsidR="00AD5C9E" w:rsidRPr="00AD5C9E">
        <w:rPr>
          <w:color w:val="000000" w:themeColor="text1"/>
          <w:szCs w:val="24"/>
        </w:rPr>
        <w:t xml:space="preserve"> </w:t>
      </w:r>
      <w:r w:rsidR="00AD5C9E">
        <w:rPr>
          <w:color w:val="000000" w:themeColor="text1"/>
          <w:szCs w:val="24"/>
        </w:rPr>
        <w:t>WHO</w:t>
      </w:r>
      <w:r w:rsidRPr="008850F2">
        <w:rPr>
          <w:color w:val="000000" w:themeColor="text1"/>
          <w:szCs w:val="24"/>
        </w:rPr>
        <w:t xml:space="preserve">.  They were developed in preparation for the </w:t>
      </w:r>
      <w:r w:rsidR="00DD4635" w:rsidRPr="00DD4635">
        <w:rPr>
          <w:rStyle w:val="Strong"/>
          <w:b w:val="0"/>
        </w:rPr>
        <w:t>Technical workshop on</w:t>
      </w:r>
      <w:r w:rsidR="00F81CF1">
        <w:rPr>
          <w:rStyle w:val="Strong"/>
          <w:b w:val="0"/>
        </w:rPr>
        <w:t xml:space="preserve"> Concepts and Technical Guidance for </w:t>
      </w:r>
      <w:r w:rsidR="00DD4635" w:rsidRPr="00DD4635">
        <w:rPr>
          <w:rStyle w:val="Strong"/>
          <w:b w:val="0"/>
        </w:rPr>
        <w:t xml:space="preserve">Health Emergency </w:t>
      </w:r>
      <w:r w:rsidR="00F81CF1">
        <w:rPr>
          <w:rStyle w:val="Strong"/>
          <w:b w:val="0"/>
        </w:rPr>
        <w:t xml:space="preserve">and Disaster </w:t>
      </w:r>
      <w:r w:rsidR="00DD4635" w:rsidRPr="00DD4635">
        <w:rPr>
          <w:rStyle w:val="Strong"/>
          <w:b w:val="0"/>
        </w:rPr>
        <w:t>Risk Management</w:t>
      </w:r>
      <w:r w:rsidRPr="008850F2">
        <w:rPr>
          <w:color w:val="000000" w:themeColor="text1"/>
          <w:szCs w:val="24"/>
        </w:rPr>
        <w:t xml:space="preserve"> in Geneva </w:t>
      </w:r>
      <w:r w:rsidR="00F81CF1">
        <w:rPr>
          <w:color w:val="000000" w:themeColor="text1"/>
          <w:szCs w:val="24"/>
        </w:rPr>
        <w:t>(21-</w:t>
      </w:r>
      <w:r w:rsidRPr="008850F2">
        <w:rPr>
          <w:color w:val="000000" w:themeColor="text1"/>
          <w:szCs w:val="24"/>
        </w:rPr>
        <w:t>23 November 2018</w:t>
      </w:r>
      <w:r w:rsidR="00F81CF1">
        <w:rPr>
          <w:color w:val="000000" w:themeColor="text1"/>
          <w:szCs w:val="24"/>
        </w:rPr>
        <w:t>)</w:t>
      </w:r>
      <w:r w:rsidR="00AD5C9E">
        <w:rPr>
          <w:color w:val="000000" w:themeColor="text1"/>
          <w:szCs w:val="24"/>
        </w:rPr>
        <w:t xml:space="preserve"> and </w:t>
      </w:r>
      <w:r w:rsidR="008C34E6">
        <w:rPr>
          <w:color w:val="000000" w:themeColor="text1"/>
          <w:szCs w:val="24"/>
        </w:rPr>
        <w:t>have benefitted from review by many experts.</w:t>
      </w:r>
    </w:p>
    <w:p w:rsidR="00B61009" w:rsidRPr="008850F2" w:rsidRDefault="00B61009" w:rsidP="008850F2">
      <w:pPr>
        <w:jc w:val="both"/>
        <w:rPr>
          <w:color w:val="000000" w:themeColor="text1"/>
          <w:szCs w:val="24"/>
        </w:rPr>
      </w:pPr>
    </w:p>
    <w:p w:rsidR="00AD5C9E" w:rsidRDefault="00890EB9" w:rsidP="00F81CF1">
      <w:pPr>
        <w:jc w:val="both"/>
        <w:rPr>
          <w:color w:val="000000" w:themeColor="text1"/>
          <w:szCs w:val="24"/>
        </w:rPr>
      </w:pPr>
      <w:r>
        <w:rPr>
          <w:color w:val="000000" w:themeColor="text1"/>
          <w:szCs w:val="24"/>
        </w:rPr>
        <w:t xml:space="preserve">Development team:  </w:t>
      </w:r>
      <w:r w:rsidR="00B61009" w:rsidRPr="008850F2">
        <w:rPr>
          <w:color w:val="000000" w:themeColor="text1"/>
          <w:szCs w:val="24"/>
        </w:rPr>
        <w:t>Public Health England: Virginia Murray, Tanith Palmer; Helen Green, Megan Harris</w:t>
      </w:r>
      <w:r w:rsidR="00AD5C9E">
        <w:rPr>
          <w:color w:val="000000" w:themeColor="text1"/>
          <w:szCs w:val="24"/>
        </w:rPr>
        <w:t>.</w:t>
      </w:r>
      <w:r w:rsidRPr="00890EB9">
        <w:rPr>
          <w:color w:val="000000" w:themeColor="text1"/>
          <w:szCs w:val="24"/>
        </w:rPr>
        <w:t xml:space="preserve"> </w:t>
      </w:r>
      <w:r w:rsidR="00DD4635">
        <w:rPr>
          <w:color w:val="000000" w:themeColor="text1"/>
          <w:szCs w:val="24"/>
        </w:rPr>
        <w:t>Ministry of Health Malaysia: Rohaida Ismail</w:t>
      </w:r>
      <w:r w:rsidR="00F81CF1">
        <w:rPr>
          <w:color w:val="000000" w:themeColor="text1"/>
          <w:szCs w:val="24"/>
        </w:rPr>
        <w:t xml:space="preserve">; </w:t>
      </w:r>
      <w:r w:rsidR="00F81CF1" w:rsidRPr="00F81CF1">
        <w:rPr>
          <w:color w:val="000000" w:themeColor="text1"/>
          <w:szCs w:val="24"/>
        </w:rPr>
        <w:t xml:space="preserve"> </w:t>
      </w:r>
      <w:r w:rsidR="00F81CF1" w:rsidRPr="008850F2">
        <w:rPr>
          <w:color w:val="000000" w:themeColor="text1"/>
          <w:szCs w:val="24"/>
        </w:rPr>
        <w:t>WHO: Jonathan Abrahams</w:t>
      </w:r>
      <w:r w:rsidR="00F81CF1">
        <w:rPr>
          <w:color w:val="000000" w:themeColor="text1"/>
          <w:szCs w:val="24"/>
        </w:rPr>
        <w:t xml:space="preserve"> …</w:t>
      </w:r>
    </w:p>
    <w:p w:rsidR="00890EB9" w:rsidRPr="008850F2" w:rsidRDefault="00890EB9" w:rsidP="00F81CF1">
      <w:pPr>
        <w:jc w:val="both"/>
        <w:rPr>
          <w:color w:val="000000" w:themeColor="text1"/>
          <w:szCs w:val="24"/>
        </w:rPr>
      </w:pPr>
      <w:r w:rsidRPr="008850F2">
        <w:rPr>
          <w:color w:val="000000" w:themeColor="text1"/>
          <w:szCs w:val="24"/>
        </w:rPr>
        <w:t>Other Contributors:</w:t>
      </w:r>
      <w:r w:rsidR="00DD4635">
        <w:rPr>
          <w:color w:val="000000" w:themeColor="text1"/>
          <w:szCs w:val="24"/>
        </w:rPr>
        <w:t xml:space="preserve"> </w:t>
      </w:r>
      <w:r w:rsidR="00F81CF1" w:rsidRPr="00E811B7">
        <w:rPr>
          <w:szCs w:val="24"/>
        </w:rPr>
        <w:t>Canterbury District Health Board, New Zealand</w:t>
      </w:r>
      <w:r w:rsidR="00F81CF1">
        <w:rPr>
          <w:color w:val="000000" w:themeColor="text1"/>
          <w:szCs w:val="24"/>
        </w:rPr>
        <w:t xml:space="preserve"> Alistair Humphrey; </w:t>
      </w:r>
      <w:r w:rsidR="00DD4635">
        <w:rPr>
          <w:color w:val="000000" w:themeColor="text1"/>
          <w:szCs w:val="24"/>
        </w:rPr>
        <w:t>Public Health England:</w:t>
      </w:r>
      <w:r w:rsidRPr="008850F2">
        <w:rPr>
          <w:color w:val="000000" w:themeColor="text1"/>
          <w:szCs w:val="24"/>
        </w:rPr>
        <w:t xml:space="preserve"> </w:t>
      </w:r>
      <w:r w:rsidR="00DD4635">
        <w:rPr>
          <w:color w:val="000000" w:themeColor="text1"/>
          <w:szCs w:val="24"/>
        </w:rPr>
        <w:t xml:space="preserve">Ashley Sharp; </w:t>
      </w:r>
      <w:proofErr w:type="spellStart"/>
      <w:r w:rsidR="00DD4635">
        <w:rPr>
          <w:color w:val="000000" w:themeColor="text1"/>
          <w:szCs w:val="24"/>
        </w:rPr>
        <w:t>Tristana</w:t>
      </w:r>
      <w:proofErr w:type="spellEnd"/>
      <w:r w:rsidR="00DD4635">
        <w:rPr>
          <w:color w:val="000000" w:themeColor="text1"/>
          <w:szCs w:val="24"/>
        </w:rPr>
        <w:t xml:space="preserve"> Perez</w:t>
      </w:r>
      <w:r w:rsidR="00E76EC3">
        <w:rPr>
          <w:color w:val="000000" w:themeColor="text1"/>
          <w:szCs w:val="24"/>
        </w:rPr>
        <w:t>, xxx</w:t>
      </w:r>
    </w:p>
    <w:p w:rsidR="00F81CF1" w:rsidRDefault="00F81CF1">
      <w:pPr>
        <w:spacing w:after="200" w:line="276" w:lineRule="auto"/>
        <w:rPr>
          <w:color w:val="000000" w:themeColor="text1"/>
          <w:szCs w:val="24"/>
        </w:rPr>
      </w:pPr>
    </w:p>
    <w:p w:rsidR="001F3A8A" w:rsidRDefault="00AD5C9E">
      <w:pPr>
        <w:spacing w:after="200" w:line="276" w:lineRule="auto"/>
        <w:rPr>
          <w:rFonts w:asciiTheme="minorHAnsi" w:hAnsiTheme="minorHAnsi"/>
          <w:b/>
        </w:rPr>
      </w:pPr>
      <w:r>
        <w:rPr>
          <w:color w:val="000000" w:themeColor="text1"/>
          <w:szCs w:val="24"/>
        </w:rPr>
        <w:t>Reviewers: xxx</w:t>
      </w:r>
      <w:r w:rsidR="001F3A8A">
        <w:rPr>
          <w:rFonts w:asciiTheme="minorHAnsi" w:hAnsiTheme="minorHAnsi"/>
          <w:b/>
        </w:rPr>
        <w:br w:type="page"/>
      </w:r>
    </w:p>
    <w:p w:rsidR="001F3A8A" w:rsidRDefault="001F3A8A" w:rsidP="00CB3250">
      <w:pPr>
        <w:spacing w:after="200" w:line="276" w:lineRule="auto"/>
        <w:rPr>
          <w:rFonts w:asciiTheme="minorHAnsi" w:hAnsiTheme="minorHAnsi"/>
          <w:b/>
        </w:rPr>
        <w:sectPr w:rsidR="001F3A8A" w:rsidSect="00B61009">
          <w:pgSz w:w="11906" w:h="16838"/>
          <w:pgMar w:top="1440" w:right="1440" w:bottom="1440" w:left="1440" w:header="708" w:footer="708" w:gutter="0"/>
          <w:cols w:space="708"/>
          <w:docGrid w:linePitch="360"/>
        </w:sectPr>
      </w:pPr>
    </w:p>
    <w:p w:rsidR="004C509D" w:rsidRDefault="001F3A8A" w:rsidP="001F3A8A">
      <w:pPr>
        <w:rPr>
          <w:b/>
        </w:rPr>
      </w:pPr>
      <w:r w:rsidRPr="001F3A8A">
        <w:rPr>
          <w:b/>
        </w:rPr>
        <w:lastRenderedPageBreak/>
        <w:t>Appendix</w:t>
      </w:r>
      <w:r w:rsidR="00DD4635">
        <w:rPr>
          <w:b/>
        </w:rPr>
        <w:t xml:space="preserve"> A</w:t>
      </w:r>
    </w:p>
    <w:p w:rsidR="001F3A8A" w:rsidRPr="001F3A8A" w:rsidRDefault="00EB3A20" w:rsidP="001F3A8A">
      <w:pPr>
        <w:rPr>
          <w:b/>
        </w:rPr>
      </w:pPr>
      <w:r w:rsidRPr="00D96C46">
        <w:rPr>
          <w:noProof/>
          <w:lang w:val="en-US"/>
        </w:rPr>
        <w:drawing>
          <wp:inline distT="0" distB="0" distL="0" distR="0">
            <wp:extent cx="871537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15452" cy="5124495"/>
                    </a:xfrm>
                    <a:prstGeom prst="rect">
                      <a:avLst/>
                    </a:prstGeom>
                    <a:noFill/>
                    <a:ln>
                      <a:noFill/>
                    </a:ln>
                  </pic:spPr>
                </pic:pic>
              </a:graphicData>
            </a:graphic>
          </wp:inline>
        </w:drawing>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Sources:</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1. Terminology of disaster risk reduction. Geneva: United Nations International Strategy for Disaster Reduction; 2009 (http://www.unisdr.org/files/7817_UNISDRTerminologyEnglish.pdf,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lastRenderedPageBreak/>
        <w:t>2. Global focus model. Bangkok: United Nations Office for the Coordination of Humanitarian Affairs; 2013 (http://www.earlyrecovery.info/wp-content/uploads/2013/10/17.-DRR-GFM-2013.pdf,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3. Types of disasters: definition of hazard [website]. Geneva: International Federation of Red Cross and Red Crescent; 2014 (http://www.ifrc.org/en/what-we-do/disaster-management/about-disasters/definition-of-hazard/, accessed 10 February 2015).</w:t>
      </w:r>
      <w:r w:rsidRPr="004C509D">
        <w:rPr>
          <w:rFonts w:asciiTheme="minorHAnsi" w:hAnsiTheme="minorHAnsi"/>
          <w:bCs/>
          <w:sz w:val="16"/>
          <w:szCs w:val="16"/>
        </w:rPr>
        <w:tab/>
      </w:r>
      <w:r w:rsidRPr="004C509D">
        <w:rPr>
          <w:rFonts w:asciiTheme="minorHAnsi" w:hAnsiTheme="minorHAnsi"/>
          <w:bCs/>
          <w:sz w:val="16"/>
          <w:szCs w:val="16"/>
        </w:rPr>
        <w:tab/>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4. </w:t>
      </w:r>
      <w:proofErr w:type="spellStart"/>
      <w:r w:rsidRPr="004C509D">
        <w:rPr>
          <w:rFonts w:asciiTheme="minorHAnsi" w:hAnsiTheme="minorHAnsi"/>
          <w:bCs/>
          <w:sz w:val="16"/>
          <w:szCs w:val="16"/>
        </w:rPr>
        <w:t>Em</w:t>
      </w:r>
      <w:proofErr w:type="spellEnd"/>
      <w:r w:rsidRPr="004C509D">
        <w:rPr>
          <w:rFonts w:asciiTheme="minorHAnsi" w:hAnsiTheme="minorHAnsi"/>
          <w:bCs/>
          <w:sz w:val="16"/>
          <w:szCs w:val="16"/>
        </w:rPr>
        <w:t>-DAT: classification of disasters [website]. Brussels: Centre for Research on the Epidemiology of Disasters; 2014 (www.emdat.be/new-classification,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5. International health regulations, 2nd edition. Geneva: World Health Organization; 2005 (http://www.who.int/ihr/publications/9789241596664/en/,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6. </w:t>
      </w:r>
      <w:proofErr w:type="spellStart"/>
      <w:r w:rsidRPr="004C509D">
        <w:rPr>
          <w:rFonts w:asciiTheme="minorHAnsi" w:hAnsiTheme="minorHAnsi"/>
          <w:bCs/>
          <w:sz w:val="16"/>
          <w:szCs w:val="16"/>
        </w:rPr>
        <w:t>Dzud</w:t>
      </w:r>
      <w:proofErr w:type="spellEnd"/>
      <w:r w:rsidRPr="004C509D">
        <w:rPr>
          <w:rFonts w:asciiTheme="minorHAnsi" w:hAnsiTheme="minorHAnsi"/>
          <w:bCs/>
          <w:sz w:val="16"/>
          <w:szCs w:val="16"/>
        </w:rPr>
        <w:t xml:space="preserve"> national report 2009-2010. Mongolia: United Nations Development Programme and Swiss Agency for Development and Cooperation; 2010 (https://www.academia.edu/2426652/How_Mongolian_herders_affected_by_Dzud_natural_phenomena_2009-2010_government_and_pastoralists_disaster_management,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7. </w:t>
      </w:r>
      <w:proofErr w:type="spellStart"/>
      <w:r w:rsidRPr="004C509D">
        <w:rPr>
          <w:rFonts w:asciiTheme="minorHAnsi" w:hAnsiTheme="minorHAnsi"/>
          <w:bCs/>
          <w:sz w:val="16"/>
          <w:szCs w:val="16"/>
        </w:rPr>
        <w:t>Jaykus</w:t>
      </w:r>
      <w:proofErr w:type="spellEnd"/>
      <w:r w:rsidRPr="004C509D">
        <w:rPr>
          <w:rFonts w:asciiTheme="minorHAnsi" w:hAnsiTheme="minorHAnsi"/>
          <w:bCs/>
          <w:sz w:val="16"/>
          <w:szCs w:val="16"/>
        </w:rPr>
        <w:t xml:space="preserve"> L, Woolridge M, Frank J, </w:t>
      </w:r>
      <w:proofErr w:type="spellStart"/>
      <w:r w:rsidRPr="004C509D">
        <w:rPr>
          <w:rFonts w:asciiTheme="minorHAnsi" w:hAnsiTheme="minorHAnsi"/>
          <w:bCs/>
          <w:sz w:val="16"/>
          <w:szCs w:val="16"/>
        </w:rPr>
        <w:t>Miraglia</w:t>
      </w:r>
      <w:proofErr w:type="spellEnd"/>
      <w:r w:rsidRPr="004C509D">
        <w:rPr>
          <w:rFonts w:asciiTheme="minorHAnsi" w:hAnsiTheme="minorHAnsi"/>
          <w:bCs/>
          <w:sz w:val="16"/>
          <w:szCs w:val="16"/>
        </w:rPr>
        <w:t xml:space="preserve"> M, </w:t>
      </w:r>
      <w:proofErr w:type="spellStart"/>
      <w:r w:rsidRPr="004C509D">
        <w:rPr>
          <w:rFonts w:asciiTheme="minorHAnsi" w:hAnsiTheme="minorHAnsi"/>
          <w:bCs/>
          <w:sz w:val="16"/>
          <w:szCs w:val="16"/>
        </w:rPr>
        <w:t>McQuatters-Gollop</w:t>
      </w:r>
      <w:proofErr w:type="spellEnd"/>
      <w:r w:rsidRPr="004C509D">
        <w:rPr>
          <w:rFonts w:asciiTheme="minorHAnsi" w:hAnsiTheme="minorHAnsi"/>
          <w:bCs/>
          <w:sz w:val="16"/>
          <w:szCs w:val="16"/>
        </w:rPr>
        <w:t xml:space="preserve"> A, Tirado C. Climate change implications for food safety. Rome: Food and Agriculture Organization of the United Nations; 2008 (http://ftp.fao.org/docrep/fao/010/i0195e00.pdf,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8. </w:t>
      </w:r>
      <w:proofErr w:type="spellStart"/>
      <w:r w:rsidRPr="004C509D">
        <w:rPr>
          <w:rFonts w:asciiTheme="minorHAnsi" w:hAnsiTheme="minorHAnsi"/>
          <w:bCs/>
          <w:sz w:val="16"/>
          <w:szCs w:val="16"/>
        </w:rPr>
        <w:t>Em</w:t>
      </w:r>
      <w:proofErr w:type="spellEnd"/>
      <w:r w:rsidRPr="004C509D">
        <w:rPr>
          <w:rFonts w:asciiTheme="minorHAnsi" w:hAnsiTheme="minorHAnsi"/>
          <w:bCs/>
          <w:sz w:val="16"/>
          <w:szCs w:val="16"/>
        </w:rPr>
        <w:t>-DAT: technological disasters trends [website]. Brussels: Centre for Research on the epidemiology of Disasters; 2009 (http://www.emdat.be/technological-disasters-trends, accessed 10 February 2015). 9. Global environmental outlook 3 : air pollution and air quality [website]. UK and US: United Nations Environment Programme; 2002 (http://www.unep.org/geo/geo3/english/366.htm,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10. Hicks K, </w:t>
      </w:r>
      <w:proofErr w:type="spellStart"/>
      <w:r w:rsidRPr="004C509D">
        <w:rPr>
          <w:rFonts w:asciiTheme="minorHAnsi" w:hAnsiTheme="minorHAnsi"/>
          <w:bCs/>
          <w:sz w:val="16"/>
          <w:szCs w:val="16"/>
        </w:rPr>
        <w:t>Kuylenstierna</w:t>
      </w:r>
      <w:proofErr w:type="spellEnd"/>
      <w:r w:rsidRPr="004C509D">
        <w:rPr>
          <w:rFonts w:asciiTheme="minorHAnsi" w:hAnsiTheme="minorHAnsi"/>
          <w:bCs/>
          <w:sz w:val="16"/>
          <w:szCs w:val="16"/>
        </w:rPr>
        <w:t xml:space="preserve"> J, Mills R. Air pollution at the global and hemispheric scales-emerging trends. Tunis: Global Atmospheric Pollution Forum; 2009 (http://www.unep.org/transport/pcfv/PDF/Tunis-KevinHicksNAEmergingTrends.pdf,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11. Coppola D. Introduction to international disaster management, 2nd edition. UK: Butterworth-Heinemann; 2011.</w:t>
      </w:r>
    </w:p>
    <w:p w:rsid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12. Recommendations for the transport of dangerous goods, 7th edition. New York and Geneva: United Nations; 2011 (http://www.unece.org/fileadmin/DAM/trans/danger/publi/unrec/rev17/English/Rev17_Volume1.pdf, accessed 10 February 2015).</w:t>
      </w:r>
      <w:r w:rsidRPr="004C509D">
        <w:rPr>
          <w:rFonts w:asciiTheme="minorHAnsi" w:hAnsiTheme="minorHAnsi"/>
          <w:bCs/>
          <w:sz w:val="16"/>
          <w:szCs w:val="16"/>
        </w:rPr>
        <w:tab/>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13. IHR core capacity and monitoring framework. Geneva: World Health Organization; 2013 (http://apps.who.int/iris/bitstream/10665/84933/1/WHO_HSE_GCR_2013.2_eng.pdf,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14. The protocol additional to the Geneva conventions for 12 August 1949, and relating to the protection of victims of international armed conflicts (Protocol I) of 8 June 1977. Geneva: International Committee of the Red Cross; 1977 (https://www.icrc.org/ihl/INTRO/470, accessed 10 February 2015).</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15. National strategy for chemical, biological, radiological, nuclear, and explosives (CBRNE) standards [website]. US: U.S. Department of Homeland Security; 2010 (http://www.dhs.gov/national-strategy-chemical-biological-radiological-nuclear-and-explosives-cbrne-standards, accessed 10 February 2015). </w:t>
      </w:r>
    </w:p>
    <w:p w:rsidR="004C509D"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 xml:space="preserve">16. Treaty on the non-proliferation of nuclear weapons [website]. US: United Nations Office for Disarmament Affairs; 2012 (http://www.un.org/disarmament/WMD/Nuclear/NPT.shtml, accessed 11 February 2015).  </w:t>
      </w:r>
    </w:p>
    <w:p w:rsidR="001F3A8A" w:rsidRPr="004C509D" w:rsidRDefault="004C509D" w:rsidP="004C509D">
      <w:pPr>
        <w:spacing w:line="276" w:lineRule="auto"/>
        <w:rPr>
          <w:rFonts w:asciiTheme="minorHAnsi" w:hAnsiTheme="minorHAnsi"/>
          <w:bCs/>
          <w:sz w:val="16"/>
          <w:szCs w:val="16"/>
        </w:rPr>
      </w:pPr>
      <w:r w:rsidRPr="004C509D">
        <w:rPr>
          <w:rFonts w:asciiTheme="minorHAnsi" w:hAnsiTheme="minorHAnsi"/>
          <w:bCs/>
          <w:sz w:val="16"/>
          <w:szCs w:val="16"/>
        </w:rPr>
        <w:t>17. Technical Guidance for Monitoring and Reporting on Progress in Achieving the Global Targets of the Sendai Framework for Disaster Risk Reduction https://www.unisdr.org/we/inform/publications/54970, UNISDR; 2017, accessed 1 November 2018)</w:t>
      </w:r>
    </w:p>
    <w:p w:rsidR="0083331F" w:rsidRDefault="0083331F">
      <w:pPr>
        <w:spacing w:after="200" w:line="276" w:lineRule="auto"/>
        <w:rPr>
          <w:rFonts w:asciiTheme="minorHAnsi" w:hAnsiTheme="minorHAnsi"/>
          <w:b/>
        </w:rPr>
      </w:pPr>
      <w:r>
        <w:rPr>
          <w:rFonts w:asciiTheme="minorHAnsi" w:hAnsiTheme="minorHAnsi"/>
          <w:b/>
        </w:rPr>
        <w:br w:type="page"/>
      </w:r>
    </w:p>
    <w:p w:rsidR="0083331F" w:rsidRDefault="0083331F" w:rsidP="00CB3250">
      <w:pPr>
        <w:spacing w:after="200" w:line="276" w:lineRule="auto"/>
        <w:rPr>
          <w:rFonts w:asciiTheme="minorHAnsi" w:hAnsiTheme="minorHAnsi"/>
          <w:b/>
        </w:rPr>
        <w:sectPr w:rsidR="0083331F" w:rsidSect="00B61009">
          <w:pgSz w:w="16838" w:h="11906" w:orient="landscape"/>
          <w:pgMar w:top="1440" w:right="1440" w:bottom="1440" w:left="1440" w:header="709" w:footer="709" w:gutter="0"/>
          <w:cols w:space="708"/>
          <w:docGrid w:linePitch="360"/>
        </w:sectPr>
      </w:pPr>
    </w:p>
    <w:p w:rsidR="00F509DD" w:rsidRDefault="00F509DD" w:rsidP="00F509DD">
      <w:pPr>
        <w:spacing w:after="200" w:line="276" w:lineRule="auto"/>
        <w:rPr>
          <w:b/>
        </w:rPr>
      </w:pPr>
      <w:r>
        <w:rPr>
          <w:b/>
        </w:rPr>
        <w:lastRenderedPageBreak/>
        <w:t>Appendix B</w:t>
      </w:r>
    </w:p>
    <w:p w:rsidR="007667C9" w:rsidRPr="007667C9" w:rsidRDefault="007667C9" w:rsidP="00F509DD">
      <w:pPr>
        <w:spacing w:after="200" w:line="276" w:lineRule="auto"/>
        <w:rPr>
          <w:color w:val="000000" w:themeColor="text1"/>
        </w:rPr>
      </w:pPr>
      <w:r w:rsidRPr="007667C9">
        <w:rPr>
          <w:color w:val="000000" w:themeColor="text1"/>
        </w:rPr>
        <w:t>Data to measure indicators should conform as far as possible to the following principles:</w:t>
      </w:r>
    </w:p>
    <w:p w:rsidR="007667C9" w:rsidRPr="007667C9" w:rsidRDefault="007667C9" w:rsidP="007667C9">
      <w:pPr>
        <w:pStyle w:val="ListParagraph"/>
        <w:numPr>
          <w:ilvl w:val="0"/>
          <w:numId w:val="13"/>
        </w:numPr>
        <w:jc w:val="both"/>
        <w:rPr>
          <w:color w:val="000000" w:themeColor="text1"/>
        </w:rPr>
      </w:pPr>
      <w:r w:rsidRPr="007667C9">
        <w:rPr>
          <w:b/>
          <w:color w:val="000000" w:themeColor="text1"/>
        </w:rPr>
        <w:t>USEFUL</w:t>
      </w:r>
      <w:r w:rsidRPr="007667C9">
        <w:rPr>
          <w:color w:val="000000" w:themeColor="text1"/>
        </w:rPr>
        <w:t xml:space="preserve"> - Data collected must be applicable to any country in the world and, to where possible, allow comparison among countries or regions</w:t>
      </w:r>
    </w:p>
    <w:p w:rsidR="007667C9" w:rsidRPr="007667C9" w:rsidRDefault="007667C9" w:rsidP="007667C9">
      <w:pPr>
        <w:pStyle w:val="ListParagraph"/>
        <w:numPr>
          <w:ilvl w:val="0"/>
          <w:numId w:val="13"/>
        </w:numPr>
        <w:jc w:val="both"/>
        <w:rPr>
          <w:color w:val="000000" w:themeColor="text1"/>
        </w:rPr>
      </w:pPr>
      <w:r w:rsidRPr="007667C9">
        <w:rPr>
          <w:b/>
          <w:color w:val="000000" w:themeColor="text1"/>
        </w:rPr>
        <w:t>FEASIBLE</w:t>
      </w:r>
      <w:r w:rsidRPr="007667C9">
        <w:rPr>
          <w:color w:val="000000" w:themeColor="text1"/>
        </w:rPr>
        <w:t xml:space="preserve"> - Data should be easy to collect regardless of the level of development or income of each country.</w:t>
      </w:r>
    </w:p>
    <w:p w:rsidR="007667C9" w:rsidRPr="007667C9" w:rsidRDefault="007667C9" w:rsidP="007667C9">
      <w:pPr>
        <w:pStyle w:val="ListParagraph"/>
        <w:numPr>
          <w:ilvl w:val="0"/>
          <w:numId w:val="13"/>
        </w:numPr>
        <w:jc w:val="both"/>
        <w:rPr>
          <w:color w:val="000000" w:themeColor="text1"/>
        </w:rPr>
      </w:pPr>
      <w:r w:rsidRPr="007667C9">
        <w:rPr>
          <w:b/>
          <w:color w:val="000000" w:themeColor="text1"/>
        </w:rPr>
        <w:t>TRANSPARENT</w:t>
      </w:r>
      <w:r w:rsidRPr="007667C9">
        <w:rPr>
          <w:color w:val="000000" w:themeColor="text1"/>
        </w:rPr>
        <w:t xml:space="preserve"> - The method used for collecting data should be well established, with any caveats or limitations declared</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CONSISTENT -</w:t>
      </w:r>
      <w:r w:rsidRPr="007667C9">
        <w:rPr>
          <w:color w:val="000000" w:themeColor="text1"/>
        </w:rPr>
        <w:t xml:space="preserve"> Data must be recorded and reported in a consistent way</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 xml:space="preserve">PRECISE – </w:t>
      </w:r>
      <w:r w:rsidRPr="007667C9">
        <w:rPr>
          <w:color w:val="000000" w:themeColor="text1"/>
        </w:rPr>
        <w:t>Data must have a measure of dispersion</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 xml:space="preserve">VERIFIABLE - </w:t>
      </w:r>
      <w:r w:rsidRPr="007667C9">
        <w:rPr>
          <w:color w:val="000000" w:themeColor="text1"/>
        </w:rPr>
        <w:t>Data should be traceable back to the original sources</w:t>
      </w:r>
      <w:r w:rsidRPr="007667C9">
        <w:rPr>
          <w:b/>
          <w:color w:val="000000" w:themeColor="text1"/>
        </w:rPr>
        <w:t xml:space="preserve"> </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 xml:space="preserve">RELEVANT – </w:t>
      </w:r>
      <w:r w:rsidRPr="007667C9">
        <w:rPr>
          <w:color w:val="000000" w:themeColor="text1"/>
        </w:rPr>
        <w:t>Data should meet users’ needs</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 xml:space="preserve">COMPLETE – </w:t>
      </w:r>
      <w:r w:rsidRPr="007667C9">
        <w:rPr>
          <w:color w:val="000000" w:themeColor="text1"/>
        </w:rPr>
        <w:t>Data should serve users’ needs as  much as possible</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 xml:space="preserve">TIMELY – </w:t>
      </w:r>
      <w:r w:rsidRPr="007667C9">
        <w:rPr>
          <w:color w:val="000000" w:themeColor="text1"/>
        </w:rPr>
        <w:t>Time between recording and publication of data should be minimised</w:t>
      </w:r>
    </w:p>
    <w:p w:rsidR="007667C9" w:rsidRPr="007667C9" w:rsidRDefault="007667C9" w:rsidP="007667C9">
      <w:pPr>
        <w:pStyle w:val="ListParagraph"/>
        <w:numPr>
          <w:ilvl w:val="0"/>
          <w:numId w:val="13"/>
        </w:numPr>
        <w:jc w:val="both"/>
        <w:rPr>
          <w:color w:val="000000" w:themeColor="text1"/>
        </w:rPr>
      </w:pPr>
      <w:r w:rsidRPr="007667C9">
        <w:rPr>
          <w:b/>
          <w:color w:val="000000" w:themeColor="text1"/>
        </w:rPr>
        <w:t xml:space="preserve">ACCESSIBLE - </w:t>
      </w:r>
      <w:r w:rsidRPr="007667C9">
        <w:rPr>
          <w:color w:val="000000" w:themeColor="text1"/>
        </w:rPr>
        <w:t>All data on public matters and/ or funded by public funds, including those data produced by the private sector, should be made public and “open by default”, with narrow exemptions for genuine security or privacy concerns.</w:t>
      </w:r>
    </w:p>
    <w:p w:rsidR="007667C9" w:rsidRPr="007667C9" w:rsidRDefault="007667C9" w:rsidP="007667C9">
      <w:pPr>
        <w:pStyle w:val="ListParagraph"/>
        <w:numPr>
          <w:ilvl w:val="0"/>
          <w:numId w:val="13"/>
        </w:numPr>
        <w:jc w:val="both"/>
        <w:rPr>
          <w:b/>
          <w:color w:val="000000" w:themeColor="text1"/>
        </w:rPr>
      </w:pPr>
      <w:r w:rsidRPr="007667C9">
        <w:rPr>
          <w:b/>
          <w:color w:val="000000" w:themeColor="text1"/>
        </w:rPr>
        <w:t xml:space="preserve">DATA GOVERNANCE - </w:t>
      </w:r>
      <w:r w:rsidRPr="007667C9">
        <w:rPr>
          <w:color w:val="000000" w:themeColor="text1"/>
        </w:rPr>
        <w:t>Data quality should be protected and improved by strengthening NSOs, and ensuring they are functionally autonomous, independent of sector ministries and political influence.</w:t>
      </w:r>
    </w:p>
    <w:p w:rsidR="007667C9" w:rsidRPr="007667C9" w:rsidRDefault="007667C9" w:rsidP="004D691C">
      <w:pPr>
        <w:spacing w:after="200" w:line="276" w:lineRule="auto"/>
        <w:rPr>
          <w:b/>
        </w:rPr>
      </w:pPr>
    </w:p>
    <w:sectPr w:rsidR="007667C9" w:rsidRPr="007667C9" w:rsidSect="00B6100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10" w:rsidRDefault="00813910" w:rsidP="00383E93">
      <w:r>
        <w:separator/>
      </w:r>
    </w:p>
  </w:endnote>
  <w:endnote w:type="continuationSeparator" w:id="0">
    <w:p w:rsidR="00813910" w:rsidRDefault="00813910" w:rsidP="00383E93">
      <w:r>
        <w:continuationSeparator/>
      </w:r>
    </w:p>
  </w:endnote>
  <w:endnote w:id="1">
    <w:p w:rsidR="005C4C21" w:rsidRPr="00F509DD" w:rsidRDefault="005C4C21" w:rsidP="00F509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font>
  <w:font w:name="Helvetica">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B" w:rsidRDefault="00B61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FD" w:rsidRPr="00B61E9B" w:rsidRDefault="008453FD" w:rsidP="008453FD">
    <w:pPr>
      <w:pStyle w:val="Footer"/>
      <w:rPr>
        <w:i/>
        <w:iCs/>
        <w:sz w:val="20"/>
        <w:szCs w:val="20"/>
      </w:rPr>
    </w:pPr>
    <w:r w:rsidRPr="00B61E9B">
      <w:rPr>
        <w:i/>
        <w:iCs/>
        <w:sz w:val="20"/>
        <w:szCs w:val="20"/>
      </w:rPr>
      <w:fldChar w:fldCharType="begin"/>
    </w:r>
    <w:r w:rsidRPr="00B61E9B">
      <w:rPr>
        <w:i/>
        <w:iCs/>
        <w:sz w:val="20"/>
        <w:szCs w:val="20"/>
      </w:rPr>
      <w:instrText xml:space="preserve"> FILENAME   \* MERGEFORMAT </w:instrText>
    </w:r>
    <w:r w:rsidRPr="00B61E9B">
      <w:rPr>
        <w:i/>
        <w:iCs/>
        <w:sz w:val="20"/>
        <w:szCs w:val="20"/>
      </w:rPr>
      <w:fldChar w:fldCharType="separate"/>
    </w:r>
    <w:r w:rsidR="00B61E9B">
      <w:rPr>
        <w:i/>
        <w:iCs/>
        <w:noProof/>
        <w:sz w:val="20"/>
        <w:szCs w:val="20"/>
      </w:rPr>
      <w:t>181116 Overview Sendai reporting guidance notes draft clean.docx</w:t>
    </w:r>
    <w:r w:rsidRPr="00B61E9B">
      <w:rPr>
        <w:i/>
        <w:iCs/>
        <w:sz w:val="20"/>
        <w:szCs w:val="20"/>
      </w:rPr>
      <w:fldChar w:fldCharType="end"/>
    </w:r>
  </w:p>
  <w:p w:rsidR="008453FD" w:rsidRDefault="00845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B" w:rsidRDefault="00B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10" w:rsidRDefault="00813910" w:rsidP="00383E93">
      <w:r>
        <w:separator/>
      </w:r>
    </w:p>
  </w:footnote>
  <w:footnote w:type="continuationSeparator" w:id="0">
    <w:p w:rsidR="00813910" w:rsidRDefault="00813910" w:rsidP="0038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B" w:rsidRDefault="00B61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BD" w:rsidRPr="00BC5EB6" w:rsidRDefault="00813910" w:rsidP="00F65ABD">
    <w:pPr>
      <w:pStyle w:val="Header"/>
      <w:rPr>
        <w:i/>
        <w:iCs/>
      </w:rPr>
    </w:pPr>
    <w:sdt>
      <w:sdtPr>
        <w:rPr>
          <w:i/>
          <w:iCs/>
        </w:rPr>
        <w:id w:val="975185987"/>
        <w:docPartObj>
          <w:docPartGallery w:val="Watermarks"/>
          <w:docPartUnique/>
        </w:docPartObj>
      </w:sdtPr>
      <w:sdtEndPr/>
      <w:sdtContent>
        <w:r>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5ABD" w:rsidRPr="00BC5EB6">
      <w:rPr>
        <w:i/>
        <w:iCs/>
      </w:rPr>
      <w:t>Draft for review. Please do not quote or distribute further – thank you. WHO</w:t>
    </w:r>
  </w:p>
  <w:p w:rsidR="00D27989" w:rsidRPr="005A06AC" w:rsidRDefault="00D27989">
    <w:pPr>
      <w:pStyle w:val="Header"/>
      <w:rPr>
        <w:i/>
        <w:i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B" w:rsidRDefault="00B61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BF"/>
    <w:multiLevelType w:val="hybridMultilevel"/>
    <w:tmpl w:val="BC521C6E"/>
    <w:lvl w:ilvl="0" w:tplc="7CC64A3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D2E56"/>
    <w:multiLevelType w:val="multilevel"/>
    <w:tmpl w:val="BBC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F63DE2"/>
    <w:multiLevelType w:val="multilevel"/>
    <w:tmpl w:val="A8508D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105099"/>
    <w:multiLevelType w:val="hybridMultilevel"/>
    <w:tmpl w:val="99EEB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D16BC"/>
    <w:multiLevelType w:val="multilevel"/>
    <w:tmpl w:val="C5BAE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300C52"/>
    <w:multiLevelType w:val="multilevel"/>
    <w:tmpl w:val="BCE4FD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E74D2F"/>
    <w:multiLevelType w:val="multilevel"/>
    <w:tmpl w:val="7B32B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1E1C8A"/>
    <w:multiLevelType w:val="hybridMultilevel"/>
    <w:tmpl w:val="D402D932"/>
    <w:lvl w:ilvl="0" w:tplc="03B6AE58">
      <w:start w:val="10"/>
      <w:numFmt w:val="decimal"/>
      <w:lvlText w:val="%1"/>
      <w:lvlJc w:val="left"/>
      <w:pPr>
        <w:ind w:left="720" w:hanging="360"/>
      </w:pPr>
      <w:rPr>
        <w:rFonts w:ascii="Verdana-Bold" w:eastAsiaTheme="minorHAnsi" w:hAnsi="Verdana-Bold" w:cs="Verdana-Bold"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BC233F"/>
    <w:multiLevelType w:val="hybridMultilevel"/>
    <w:tmpl w:val="D8A4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157D2"/>
    <w:multiLevelType w:val="hybridMultilevel"/>
    <w:tmpl w:val="A8A8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3680F"/>
    <w:multiLevelType w:val="hybridMultilevel"/>
    <w:tmpl w:val="CF86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B510F2"/>
    <w:multiLevelType w:val="hybridMultilevel"/>
    <w:tmpl w:val="8976D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6A24B4"/>
    <w:multiLevelType w:val="multilevel"/>
    <w:tmpl w:val="68142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C1903EC"/>
    <w:multiLevelType w:val="multilevel"/>
    <w:tmpl w:val="38EE55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CA02B18"/>
    <w:multiLevelType w:val="hybridMultilevel"/>
    <w:tmpl w:val="183AD884"/>
    <w:lvl w:ilvl="0" w:tplc="7CC64A3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26654"/>
    <w:multiLevelType w:val="hybridMultilevel"/>
    <w:tmpl w:val="F708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82C3F"/>
    <w:multiLevelType w:val="hybridMultilevel"/>
    <w:tmpl w:val="51F49064"/>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7">
    <w:nsid w:val="724A54D0"/>
    <w:multiLevelType w:val="multilevel"/>
    <w:tmpl w:val="D298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91733AE"/>
    <w:multiLevelType w:val="hybridMultilevel"/>
    <w:tmpl w:val="B3E4D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DD10D5E"/>
    <w:multiLevelType w:val="hybridMultilevel"/>
    <w:tmpl w:val="64DCD6E4"/>
    <w:lvl w:ilvl="0" w:tplc="7DF6D1D8">
      <w:start w:val="1"/>
      <w:numFmt w:val="decimal"/>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
  </w:num>
  <w:num w:numId="3">
    <w:abstractNumId w:val="5"/>
  </w:num>
  <w:num w:numId="4">
    <w:abstractNumId w:val="6"/>
  </w:num>
  <w:num w:numId="5">
    <w:abstractNumId w:val="2"/>
  </w:num>
  <w:num w:numId="6">
    <w:abstractNumId w:val="12"/>
  </w:num>
  <w:num w:numId="7">
    <w:abstractNumId w:val="13"/>
  </w:num>
  <w:num w:numId="8">
    <w:abstractNumId w:val="4"/>
  </w:num>
  <w:num w:numId="9">
    <w:abstractNumId w:val="17"/>
  </w:num>
  <w:num w:numId="10">
    <w:abstractNumId w:val="16"/>
  </w:num>
  <w:num w:numId="11">
    <w:abstractNumId w:val="14"/>
  </w:num>
  <w:num w:numId="12">
    <w:abstractNumId w:val="0"/>
  </w:num>
  <w:num w:numId="13">
    <w:abstractNumId w:val="15"/>
  </w:num>
  <w:num w:numId="14">
    <w:abstractNumId w:val="10"/>
  </w:num>
  <w:num w:numId="15">
    <w:abstractNumId w:val="3"/>
  </w:num>
  <w:num w:numId="16">
    <w:abstractNumId w:val="8"/>
  </w:num>
  <w:num w:numId="17">
    <w:abstractNumId w:val="19"/>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54"/>
    <w:rsid w:val="00020436"/>
    <w:rsid w:val="00062A7A"/>
    <w:rsid w:val="000C78F6"/>
    <w:rsid w:val="000E6955"/>
    <w:rsid w:val="000F5BB8"/>
    <w:rsid w:val="00123048"/>
    <w:rsid w:val="001347D8"/>
    <w:rsid w:val="001411AC"/>
    <w:rsid w:val="00146D22"/>
    <w:rsid w:val="00160D26"/>
    <w:rsid w:val="00181EFF"/>
    <w:rsid w:val="001904A4"/>
    <w:rsid w:val="001A3D38"/>
    <w:rsid w:val="001A74A9"/>
    <w:rsid w:val="001F0904"/>
    <w:rsid w:val="001F3A8A"/>
    <w:rsid w:val="002148D4"/>
    <w:rsid w:val="002168AB"/>
    <w:rsid w:val="0025402A"/>
    <w:rsid w:val="002B7475"/>
    <w:rsid w:val="002C625B"/>
    <w:rsid w:val="00301C27"/>
    <w:rsid w:val="0031109E"/>
    <w:rsid w:val="00317AF0"/>
    <w:rsid w:val="003307C4"/>
    <w:rsid w:val="00330B8D"/>
    <w:rsid w:val="00372926"/>
    <w:rsid w:val="0037550F"/>
    <w:rsid w:val="00383E93"/>
    <w:rsid w:val="003B0AB6"/>
    <w:rsid w:val="003B17DF"/>
    <w:rsid w:val="003D5E0C"/>
    <w:rsid w:val="003E38DD"/>
    <w:rsid w:val="004127AB"/>
    <w:rsid w:val="00416F45"/>
    <w:rsid w:val="004304A2"/>
    <w:rsid w:val="00442EF6"/>
    <w:rsid w:val="00452C76"/>
    <w:rsid w:val="00456811"/>
    <w:rsid w:val="00474EA1"/>
    <w:rsid w:val="004A6F9C"/>
    <w:rsid w:val="004A77C8"/>
    <w:rsid w:val="004C4A36"/>
    <w:rsid w:val="004C509D"/>
    <w:rsid w:val="004C7325"/>
    <w:rsid w:val="004D691C"/>
    <w:rsid w:val="0057006C"/>
    <w:rsid w:val="00582971"/>
    <w:rsid w:val="005868E7"/>
    <w:rsid w:val="005A06AC"/>
    <w:rsid w:val="005B5CD3"/>
    <w:rsid w:val="005C4C21"/>
    <w:rsid w:val="005C6DAA"/>
    <w:rsid w:val="006007CF"/>
    <w:rsid w:val="00647574"/>
    <w:rsid w:val="00657EB6"/>
    <w:rsid w:val="00662958"/>
    <w:rsid w:val="0067379B"/>
    <w:rsid w:val="00685407"/>
    <w:rsid w:val="006F06B6"/>
    <w:rsid w:val="00730AE7"/>
    <w:rsid w:val="007461E4"/>
    <w:rsid w:val="00747787"/>
    <w:rsid w:val="0076037B"/>
    <w:rsid w:val="00764AA7"/>
    <w:rsid w:val="007667C9"/>
    <w:rsid w:val="007910F5"/>
    <w:rsid w:val="007A11A4"/>
    <w:rsid w:val="007E46AE"/>
    <w:rsid w:val="00813910"/>
    <w:rsid w:val="00827FE7"/>
    <w:rsid w:val="0083331F"/>
    <w:rsid w:val="008453FD"/>
    <w:rsid w:val="00860C9D"/>
    <w:rsid w:val="0086392D"/>
    <w:rsid w:val="00871EC8"/>
    <w:rsid w:val="008850F2"/>
    <w:rsid w:val="00890EB9"/>
    <w:rsid w:val="008C34E6"/>
    <w:rsid w:val="008E518E"/>
    <w:rsid w:val="0090195A"/>
    <w:rsid w:val="00901C47"/>
    <w:rsid w:val="00907FA6"/>
    <w:rsid w:val="009575AE"/>
    <w:rsid w:val="009D51E6"/>
    <w:rsid w:val="00A148D5"/>
    <w:rsid w:val="00AD1515"/>
    <w:rsid w:val="00AD5C9E"/>
    <w:rsid w:val="00AD5D5A"/>
    <w:rsid w:val="00AE35AE"/>
    <w:rsid w:val="00AF05D5"/>
    <w:rsid w:val="00B24044"/>
    <w:rsid w:val="00B4727E"/>
    <w:rsid w:val="00B61009"/>
    <w:rsid w:val="00B61E9B"/>
    <w:rsid w:val="00B74929"/>
    <w:rsid w:val="00B753D2"/>
    <w:rsid w:val="00B91F85"/>
    <w:rsid w:val="00BA2721"/>
    <w:rsid w:val="00BA67EE"/>
    <w:rsid w:val="00BB0F38"/>
    <w:rsid w:val="00BC3B7D"/>
    <w:rsid w:val="00C03816"/>
    <w:rsid w:val="00C06A7C"/>
    <w:rsid w:val="00CB3250"/>
    <w:rsid w:val="00CD4F60"/>
    <w:rsid w:val="00CF07E8"/>
    <w:rsid w:val="00D27989"/>
    <w:rsid w:val="00D43E45"/>
    <w:rsid w:val="00D60418"/>
    <w:rsid w:val="00D82186"/>
    <w:rsid w:val="00DB3B28"/>
    <w:rsid w:val="00DD4635"/>
    <w:rsid w:val="00E0111F"/>
    <w:rsid w:val="00E14A09"/>
    <w:rsid w:val="00E17EB6"/>
    <w:rsid w:val="00E36B80"/>
    <w:rsid w:val="00E46BBB"/>
    <w:rsid w:val="00E730AF"/>
    <w:rsid w:val="00E76EC3"/>
    <w:rsid w:val="00E76FFF"/>
    <w:rsid w:val="00E81404"/>
    <w:rsid w:val="00E92C93"/>
    <w:rsid w:val="00EA4631"/>
    <w:rsid w:val="00EB3A20"/>
    <w:rsid w:val="00EB4815"/>
    <w:rsid w:val="00EB6EC4"/>
    <w:rsid w:val="00EB70B7"/>
    <w:rsid w:val="00EB7A06"/>
    <w:rsid w:val="00ED4754"/>
    <w:rsid w:val="00ED7E31"/>
    <w:rsid w:val="00F27187"/>
    <w:rsid w:val="00F35724"/>
    <w:rsid w:val="00F452A6"/>
    <w:rsid w:val="00F509DD"/>
    <w:rsid w:val="00F50B60"/>
    <w:rsid w:val="00F64B7A"/>
    <w:rsid w:val="00F657FA"/>
    <w:rsid w:val="00F65ABD"/>
    <w:rsid w:val="00F66D08"/>
    <w:rsid w:val="00F7133C"/>
    <w:rsid w:val="00F81CF1"/>
    <w:rsid w:val="00F93066"/>
    <w:rsid w:val="00F966D2"/>
    <w:rsid w:val="00FB5A06"/>
    <w:rsid w:val="00FC6C57"/>
    <w:rsid w:val="00FC7B0E"/>
    <w:rsid w:val="00FF3F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C93"/>
    <w:pPr>
      <w:spacing w:after="0" w:line="240" w:lineRule="auto"/>
    </w:pPr>
    <w:rPr>
      <w:rFonts w:ascii="Arial" w:eastAsia="Arial" w:hAnsi="Arial" w:cs="Arial"/>
      <w:sz w:val="24"/>
      <w:lang w:eastAsia="zh-CN"/>
    </w:rPr>
  </w:style>
  <w:style w:type="paragraph" w:styleId="Heading1">
    <w:name w:val="heading 1"/>
    <w:basedOn w:val="Normal"/>
    <w:link w:val="Heading1Char"/>
    <w:uiPriority w:val="9"/>
    <w:qFormat/>
    <w:rsid w:val="00330B8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54"/>
    <w:pPr>
      <w:ind w:left="720"/>
      <w:contextualSpacing/>
    </w:pPr>
  </w:style>
  <w:style w:type="paragraph" w:styleId="BalloonText">
    <w:name w:val="Balloon Text"/>
    <w:basedOn w:val="Normal"/>
    <w:link w:val="BalloonTextChar"/>
    <w:uiPriority w:val="99"/>
    <w:semiHidden/>
    <w:unhideWhenUsed/>
    <w:rsid w:val="00160D26"/>
    <w:rPr>
      <w:rFonts w:ascii="Tahoma" w:hAnsi="Tahoma" w:cs="Tahoma"/>
      <w:sz w:val="16"/>
      <w:szCs w:val="16"/>
    </w:rPr>
  </w:style>
  <w:style w:type="character" w:customStyle="1" w:styleId="BalloonTextChar">
    <w:name w:val="Balloon Text Char"/>
    <w:basedOn w:val="DefaultParagraphFont"/>
    <w:link w:val="BalloonText"/>
    <w:uiPriority w:val="99"/>
    <w:semiHidden/>
    <w:rsid w:val="00160D26"/>
    <w:rPr>
      <w:rFonts w:ascii="Tahoma" w:eastAsia="Arial" w:hAnsi="Tahoma" w:cs="Tahoma"/>
      <w:sz w:val="16"/>
      <w:szCs w:val="16"/>
      <w:lang w:eastAsia="zh-CN"/>
    </w:rPr>
  </w:style>
  <w:style w:type="character" w:styleId="Hyperlink">
    <w:name w:val="Hyperlink"/>
    <w:basedOn w:val="DefaultParagraphFont"/>
    <w:uiPriority w:val="99"/>
    <w:unhideWhenUsed/>
    <w:rsid w:val="00383E93"/>
    <w:rPr>
      <w:color w:val="0000FF" w:themeColor="hyperlink"/>
      <w:u w:val="single"/>
    </w:rPr>
  </w:style>
  <w:style w:type="paragraph" w:customStyle="1" w:styleId="Default">
    <w:name w:val="Default"/>
    <w:qFormat/>
    <w:rsid w:val="00383E93"/>
    <w:pPr>
      <w:autoSpaceDE w:val="0"/>
      <w:autoSpaceDN w:val="0"/>
      <w:adjustRightInd w:val="0"/>
      <w:spacing w:after="0" w:line="240" w:lineRule="auto"/>
    </w:pPr>
    <w:rPr>
      <w:rFonts w:ascii="Segoe UI" w:eastAsia="MS Mincho" w:hAnsi="Segoe UI" w:cs="Segoe UI"/>
      <w:color w:val="000000"/>
      <w:sz w:val="24"/>
      <w:szCs w:val="24"/>
      <w:lang w:val="en-CA" w:eastAsia="en-GB"/>
    </w:rPr>
  </w:style>
  <w:style w:type="character" w:styleId="EndnoteReference">
    <w:name w:val="endnote reference"/>
    <w:basedOn w:val="DefaultParagraphFont"/>
    <w:uiPriority w:val="99"/>
    <w:semiHidden/>
    <w:unhideWhenUsed/>
    <w:rsid w:val="00383E93"/>
    <w:rPr>
      <w:vertAlign w:val="superscript"/>
    </w:rPr>
  </w:style>
  <w:style w:type="table" w:styleId="TableGrid">
    <w:name w:val="Table Grid"/>
    <w:basedOn w:val="TableNormal"/>
    <w:uiPriority w:val="59"/>
    <w:rsid w:val="00383E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383E93"/>
    <w:pPr>
      <w:widowControl w:val="0"/>
      <w:jc w:val="both"/>
    </w:pPr>
    <w:rPr>
      <w:rFonts w:ascii="Calibri" w:eastAsia="MS Mincho" w:hAnsi="Calibri" w:cs="Calibri"/>
      <w:color w:val="000000"/>
      <w:sz w:val="20"/>
      <w:szCs w:val="20"/>
      <w:lang w:eastAsia="en-GB"/>
    </w:rPr>
  </w:style>
  <w:style w:type="character" w:customStyle="1" w:styleId="FootnoteTextChar">
    <w:name w:val="Footnote Text Char"/>
    <w:basedOn w:val="DefaultParagraphFont"/>
    <w:link w:val="FootnoteText"/>
    <w:uiPriority w:val="99"/>
    <w:qFormat/>
    <w:rsid w:val="00383E93"/>
    <w:rPr>
      <w:rFonts w:ascii="Calibri" w:eastAsia="MS Mincho" w:hAnsi="Calibri" w:cs="Calibri"/>
      <w:color w:val="000000"/>
      <w:sz w:val="20"/>
      <w:szCs w:val="20"/>
      <w:lang w:eastAsia="en-GB"/>
    </w:rPr>
  </w:style>
  <w:style w:type="character" w:customStyle="1" w:styleId="EndnoteTextChar">
    <w:name w:val="Endnote Text Char"/>
    <w:basedOn w:val="DefaultParagraphFont"/>
    <w:link w:val="EndnoteText"/>
    <w:uiPriority w:val="99"/>
    <w:semiHidden/>
    <w:rsid w:val="00383E93"/>
    <w:rPr>
      <w:sz w:val="20"/>
      <w:szCs w:val="20"/>
    </w:rPr>
  </w:style>
  <w:style w:type="paragraph" w:styleId="EndnoteText">
    <w:name w:val="endnote text"/>
    <w:basedOn w:val="Normal"/>
    <w:link w:val="EndnoteTextChar"/>
    <w:uiPriority w:val="99"/>
    <w:semiHidden/>
    <w:unhideWhenUsed/>
    <w:rsid w:val="00383E93"/>
    <w:pPr>
      <w:widowControl w:val="0"/>
      <w:jc w:val="both"/>
    </w:pPr>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383E93"/>
    <w:rPr>
      <w:rFonts w:ascii="Arial" w:eastAsia="Arial" w:hAnsi="Arial" w:cs="Arial"/>
      <w:sz w:val="20"/>
      <w:szCs w:val="20"/>
      <w:lang w:eastAsia="zh-CN"/>
    </w:rPr>
  </w:style>
  <w:style w:type="character" w:styleId="CommentReference">
    <w:name w:val="annotation reference"/>
    <w:basedOn w:val="DefaultParagraphFont"/>
    <w:uiPriority w:val="99"/>
    <w:semiHidden/>
    <w:unhideWhenUsed/>
    <w:rsid w:val="00416F45"/>
    <w:rPr>
      <w:sz w:val="16"/>
      <w:szCs w:val="16"/>
    </w:rPr>
  </w:style>
  <w:style w:type="paragraph" w:styleId="CommentText">
    <w:name w:val="annotation text"/>
    <w:basedOn w:val="Normal"/>
    <w:link w:val="CommentTextChar"/>
    <w:uiPriority w:val="99"/>
    <w:semiHidden/>
    <w:unhideWhenUsed/>
    <w:rsid w:val="00416F45"/>
    <w:rPr>
      <w:sz w:val="20"/>
      <w:szCs w:val="20"/>
    </w:rPr>
  </w:style>
  <w:style w:type="character" w:customStyle="1" w:styleId="CommentTextChar">
    <w:name w:val="Comment Text Char"/>
    <w:basedOn w:val="DefaultParagraphFont"/>
    <w:link w:val="CommentText"/>
    <w:uiPriority w:val="99"/>
    <w:semiHidden/>
    <w:rsid w:val="00416F45"/>
    <w:rPr>
      <w:rFonts w:ascii="Arial" w:eastAsia="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6F45"/>
    <w:rPr>
      <w:b/>
      <w:bCs/>
    </w:rPr>
  </w:style>
  <w:style w:type="character" w:customStyle="1" w:styleId="CommentSubjectChar">
    <w:name w:val="Comment Subject Char"/>
    <w:basedOn w:val="CommentTextChar"/>
    <w:link w:val="CommentSubject"/>
    <w:uiPriority w:val="99"/>
    <w:semiHidden/>
    <w:rsid w:val="00416F45"/>
    <w:rPr>
      <w:rFonts w:ascii="Arial" w:eastAsia="Arial" w:hAnsi="Arial" w:cs="Arial"/>
      <w:b/>
      <w:bCs/>
      <w:sz w:val="20"/>
      <w:szCs w:val="20"/>
      <w:lang w:eastAsia="zh-CN"/>
    </w:rPr>
  </w:style>
  <w:style w:type="table" w:styleId="LightShading">
    <w:name w:val="Light Shading"/>
    <w:basedOn w:val="TableNormal"/>
    <w:uiPriority w:val="60"/>
    <w:rsid w:val="00570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70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otnoteReference">
    <w:name w:val="footnote reference"/>
    <w:basedOn w:val="DefaultParagraphFont"/>
    <w:uiPriority w:val="99"/>
    <w:semiHidden/>
    <w:unhideWhenUsed/>
    <w:rsid w:val="00317AF0"/>
    <w:rPr>
      <w:vertAlign w:val="superscript"/>
    </w:rPr>
  </w:style>
  <w:style w:type="paragraph" w:styleId="NormalWeb">
    <w:name w:val="Normal (Web)"/>
    <w:basedOn w:val="Normal"/>
    <w:uiPriority w:val="99"/>
    <w:semiHidden/>
    <w:unhideWhenUsed/>
    <w:rsid w:val="00647574"/>
    <w:pPr>
      <w:spacing w:before="100" w:beforeAutospacing="1" w:after="100" w:afterAutospacing="1"/>
    </w:pPr>
    <w:rPr>
      <w:rFonts w:ascii="Times New Roman" w:eastAsiaTheme="minorEastAsia" w:hAnsi="Times New Roman" w:cs="Times New Roman"/>
      <w:szCs w:val="24"/>
      <w:lang w:eastAsia="en-GB"/>
    </w:rPr>
  </w:style>
  <w:style w:type="table" w:styleId="LightShading-Accent5">
    <w:name w:val="Light Shading Accent 5"/>
    <w:basedOn w:val="TableNormal"/>
    <w:uiPriority w:val="60"/>
    <w:rsid w:val="002168A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2168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A6F9C"/>
    <w:pPr>
      <w:tabs>
        <w:tab w:val="center" w:pos="4513"/>
        <w:tab w:val="right" w:pos="9026"/>
      </w:tabs>
    </w:pPr>
  </w:style>
  <w:style w:type="character" w:customStyle="1" w:styleId="HeaderChar">
    <w:name w:val="Header Char"/>
    <w:basedOn w:val="DefaultParagraphFont"/>
    <w:link w:val="Header"/>
    <w:uiPriority w:val="99"/>
    <w:rsid w:val="004A6F9C"/>
    <w:rPr>
      <w:rFonts w:ascii="Arial" w:eastAsia="Arial" w:hAnsi="Arial" w:cs="Arial"/>
      <w:sz w:val="24"/>
      <w:lang w:eastAsia="zh-CN"/>
    </w:rPr>
  </w:style>
  <w:style w:type="paragraph" w:styleId="Footer">
    <w:name w:val="footer"/>
    <w:basedOn w:val="Normal"/>
    <w:link w:val="FooterChar"/>
    <w:uiPriority w:val="99"/>
    <w:unhideWhenUsed/>
    <w:rsid w:val="004A6F9C"/>
    <w:pPr>
      <w:tabs>
        <w:tab w:val="center" w:pos="4513"/>
        <w:tab w:val="right" w:pos="9026"/>
      </w:tabs>
    </w:pPr>
  </w:style>
  <w:style w:type="character" w:customStyle="1" w:styleId="FooterChar">
    <w:name w:val="Footer Char"/>
    <w:basedOn w:val="DefaultParagraphFont"/>
    <w:link w:val="Footer"/>
    <w:uiPriority w:val="99"/>
    <w:rsid w:val="004A6F9C"/>
    <w:rPr>
      <w:rFonts w:ascii="Arial" w:eastAsia="Arial" w:hAnsi="Arial" w:cs="Arial"/>
      <w:sz w:val="24"/>
      <w:lang w:eastAsia="zh-CN"/>
    </w:rPr>
  </w:style>
  <w:style w:type="character" w:customStyle="1" w:styleId="Heading1Char">
    <w:name w:val="Heading 1 Char"/>
    <w:basedOn w:val="DefaultParagraphFont"/>
    <w:link w:val="Heading1"/>
    <w:uiPriority w:val="9"/>
    <w:rsid w:val="00330B8D"/>
    <w:rPr>
      <w:rFonts w:ascii="Times New Roman" w:eastAsia="Times New Roman" w:hAnsi="Times New Roman" w:cs="Times New Roman"/>
      <w:b/>
      <w:bCs/>
      <w:kern w:val="36"/>
      <w:sz w:val="48"/>
      <w:szCs w:val="48"/>
      <w:lang w:val="en-US" w:eastAsia="zh-CN"/>
    </w:rPr>
  </w:style>
  <w:style w:type="paragraph" w:styleId="Revision">
    <w:name w:val="Revision"/>
    <w:hidden/>
    <w:uiPriority w:val="99"/>
    <w:semiHidden/>
    <w:rsid w:val="00E14A09"/>
    <w:pPr>
      <w:spacing w:after="0" w:line="240" w:lineRule="auto"/>
    </w:pPr>
    <w:rPr>
      <w:rFonts w:ascii="Arial" w:eastAsia="Arial" w:hAnsi="Arial" w:cs="Arial"/>
      <w:sz w:val="24"/>
      <w:lang w:eastAsia="zh-CN"/>
    </w:rPr>
  </w:style>
  <w:style w:type="character" w:styleId="Strong">
    <w:name w:val="Strong"/>
    <w:basedOn w:val="DefaultParagraphFont"/>
    <w:uiPriority w:val="22"/>
    <w:qFormat/>
    <w:rsid w:val="00DD4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C93"/>
    <w:pPr>
      <w:spacing w:after="0" w:line="240" w:lineRule="auto"/>
    </w:pPr>
    <w:rPr>
      <w:rFonts w:ascii="Arial" w:eastAsia="Arial" w:hAnsi="Arial" w:cs="Arial"/>
      <w:sz w:val="24"/>
      <w:lang w:eastAsia="zh-CN"/>
    </w:rPr>
  </w:style>
  <w:style w:type="paragraph" w:styleId="Heading1">
    <w:name w:val="heading 1"/>
    <w:basedOn w:val="Normal"/>
    <w:link w:val="Heading1Char"/>
    <w:uiPriority w:val="9"/>
    <w:qFormat/>
    <w:rsid w:val="00330B8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54"/>
    <w:pPr>
      <w:ind w:left="720"/>
      <w:contextualSpacing/>
    </w:pPr>
  </w:style>
  <w:style w:type="paragraph" w:styleId="BalloonText">
    <w:name w:val="Balloon Text"/>
    <w:basedOn w:val="Normal"/>
    <w:link w:val="BalloonTextChar"/>
    <w:uiPriority w:val="99"/>
    <w:semiHidden/>
    <w:unhideWhenUsed/>
    <w:rsid w:val="00160D26"/>
    <w:rPr>
      <w:rFonts w:ascii="Tahoma" w:hAnsi="Tahoma" w:cs="Tahoma"/>
      <w:sz w:val="16"/>
      <w:szCs w:val="16"/>
    </w:rPr>
  </w:style>
  <w:style w:type="character" w:customStyle="1" w:styleId="BalloonTextChar">
    <w:name w:val="Balloon Text Char"/>
    <w:basedOn w:val="DefaultParagraphFont"/>
    <w:link w:val="BalloonText"/>
    <w:uiPriority w:val="99"/>
    <w:semiHidden/>
    <w:rsid w:val="00160D26"/>
    <w:rPr>
      <w:rFonts w:ascii="Tahoma" w:eastAsia="Arial" w:hAnsi="Tahoma" w:cs="Tahoma"/>
      <w:sz w:val="16"/>
      <w:szCs w:val="16"/>
      <w:lang w:eastAsia="zh-CN"/>
    </w:rPr>
  </w:style>
  <w:style w:type="character" w:styleId="Hyperlink">
    <w:name w:val="Hyperlink"/>
    <w:basedOn w:val="DefaultParagraphFont"/>
    <w:uiPriority w:val="99"/>
    <w:unhideWhenUsed/>
    <w:rsid w:val="00383E93"/>
    <w:rPr>
      <w:color w:val="0000FF" w:themeColor="hyperlink"/>
      <w:u w:val="single"/>
    </w:rPr>
  </w:style>
  <w:style w:type="paragraph" w:customStyle="1" w:styleId="Default">
    <w:name w:val="Default"/>
    <w:qFormat/>
    <w:rsid w:val="00383E93"/>
    <w:pPr>
      <w:autoSpaceDE w:val="0"/>
      <w:autoSpaceDN w:val="0"/>
      <w:adjustRightInd w:val="0"/>
      <w:spacing w:after="0" w:line="240" w:lineRule="auto"/>
    </w:pPr>
    <w:rPr>
      <w:rFonts w:ascii="Segoe UI" w:eastAsia="MS Mincho" w:hAnsi="Segoe UI" w:cs="Segoe UI"/>
      <w:color w:val="000000"/>
      <w:sz w:val="24"/>
      <w:szCs w:val="24"/>
      <w:lang w:val="en-CA" w:eastAsia="en-GB"/>
    </w:rPr>
  </w:style>
  <w:style w:type="character" w:styleId="EndnoteReference">
    <w:name w:val="endnote reference"/>
    <w:basedOn w:val="DefaultParagraphFont"/>
    <w:uiPriority w:val="99"/>
    <w:semiHidden/>
    <w:unhideWhenUsed/>
    <w:rsid w:val="00383E93"/>
    <w:rPr>
      <w:vertAlign w:val="superscript"/>
    </w:rPr>
  </w:style>
  <w:style w:type="table" w:styleId="TableGrid">
    <w:name w:val="Table Grid"/>
    <w:basedOn w:val="TableNormal"/>
    <w:uiPriority w:val="59"/>
    <w:rsid w:val="00383E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383E93"/>
    <w:pPr>
      <w:widowControl w:val="0"/>
      <w:jc w:val="both"/>
    </w:pPr>
    <w:rPr>
      <w:rFonts w:ascii="Calibri" w:eastAsia="MS Mincho" w:hAnsi="Calibri" w:cs="Calibri"/>
      <w:color w:val="000000"/>
      <w:sz w:val="20"/>
      <w:szCs w:val="20"/>
      <w:lang w:eastAsia="en-GB"/>
    </w:rPr>
  </w:style>
  <w:style w:type="character" w:customStyle="1" w:styleId="FootnoteTextChar">
    <w:name w:val="Footnote Text Char"/>
    <w:basedOn w:val="DefaultParagraphFont"/>
    <w:link w:val="FootnoteText"/>
    <w:uiPriority w:val="99"/>
    <w:qFormat/>
    <w:rsid w:val="00383E93"/>
    <w:rPr>
      <w:rFonts w:ascii="Calibri" w:eastAsia="MS Mincho" w:hAnsi="Calibri" w:cs="Calibri"/>
      <w:color w:val="000000"/>
      <w:sz w:val="20"/>
      <w:szCs w:val="20"/>
      <w:lang w:eastAsia="en-GB"/>
    </w:rPr>
  </w:style>
  <w:style w:type="character" w:customStyle="1" w:styleId="EndnoteTextChar">
    <w:name w:val="Endnote Text Char"/>
    <w:basedOn w:val="DefaultParagraphFont"/>
    <w:link w:val="EndnoteText"/>
    <w:uiPriority w:val="99"/>
    <w:semiHidden/>
    <w:rsid w:val="00383E93"/>
    <w:rPr>
      <w:sz w:val="20"/>
      <w:szCs w:val="20"/>
    </w:rPr>
  </w:style>
  <w:style w:type="paragraph" w:styleId="EndnoteText">
    <w:name w:val="endnote text"/>
    <w:basedOn w:val="Normal"/>
    <w:link w:val="EndnoteTextChar"/>
    <w:uiPriority w:val="99"/>
    <w:semiHidden/>
    <w:unhideWhenUsed/>
    <w:rsid w:val="00383E93"/>
    <w:pPr>
      <w:widowControl w:val="0"/>
      <w:jc w:val="both"/>
    </w:pPr>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383E93"/>
    <w:rPr>
      <w:rFonts w:ascii="Arial" w:eastAsia="Arial" w:hAnsi="Arial" w:cs="Arial"/>
      <w:sz w:val="20"/>
      <w:szCs w:val="20"/>
      <w:lang w:eastAsia="zh-CN"/>
    </w:rPr>
  </w:style>
  <w:style w:type="character" w:styleId="CommentReference">
    <w:name w:val="annotation reference"/>
    <w:basedOn w:val="DefaultParagraphFont"/>
    <w:uiPriority w:val="99"/>
    <w:semiHidden/>
    <w:unhideWhenUsed/>
    <w:rsid w:val="00416F45"/>
    <w:rPr>
      <w:sz w:val="16"/>
      <w:szCs w:val="16"/>
    </w:rPr>
  </w:style>
  <w:style w:type="paragraph" w:styleId="CommentText">
    <w:name w:val="annotation text"/>
    <w:basedOn w:val="Normal"/>
    <w:link w:val="CommentTextChar"/>
    <w:uiPriority w:val="99"/>
    <w:semiHidden/>
    <w:unhideWhenUsed/>
    <w:rsid w:val="00416F45"/>
    <w:rPr>
      <w:sz w:val="20"/>
      <w:szCs w:val="20"/>
    </w:rPr>
  </w:style>
  <w:style w:type="character" w:customStyle="1" w:styleId="CommentTextChar">
    <w:name w:val="Comment Text Char"/>
    <w:basedOn w:val="DefaultParagraphFont"/>
    <w:link w:val="CommentText"/>
    <w:uiPriority w:val="99"/>
    <w:semiHidden/>
    <w:rsid w:val="00416F45"/>
    <w:rPr>
      <w:rFonts w:ascii="Arial" w:eastAsia="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6F45"/>
    <w:rPr>
      <w:b/>
      <w:bCs/>
    </w:rPr>
  </w:style>
  <w:style w:type="character" w:customStyle="1" w:styleId="CommentSubjectChar">
    <w:name w:val="Comment Subject Char"/>
    <w:basedOn w:val="CommentTextChar"/>
    <w:link w:val="CommentSubject"/>
    <w:uiPriority w:val="99"/>
    <w:semiHidden/>
    <w:rsid w:val="00416F45"/>
    <w:rPr>
      <w:rFonts w:ascii="Arial" w:eastAsia="Arial" w:hAnsi="Arial" w:cs="Arial"/>
      <w:b/>
      <w:bCs/>
      <w:sz w:val="20"/>
      <w:szCs w:val="20"/>
      <w:lang w:eastAsia="zh-CN"/>
    </w:rPr>
  </w:style>
  <w:style w:type="table" w:styleId="LightShading">
    <w:name w:val="Light Shading"/>
    <w:basedOn w:val="TableNormal"/>
    <w:uiPriority w:val="60"/>
    <w:rsid w:val="00570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70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otnoteReference">
    <w:name w:val="footnote reference"/>
    <w:basedOn w:val="DefaultParagraphFont"/>
    <w:uiPriority w:val="99"/>
    <w:semiHidden/>
    <w:unhideWhenUsed/>
    <w:rsid w:val="00317AF0"/>
    <w:rPr>
      <w:vertAlign w:val="superscript"/>
    </w:rPr>
  </w:style>
  <w:style w:type="paragraph" w:styleId="NormalWeb">
    <w:name w:val="Normal (Web)"/>
    <w:basedOn w:val="Normal"/>
    <w:uiPriority w:val="99"/>
    <w:semiHidden/>
    <w:unhideWhenUsed/>
    <w:rsid w:val="00647574"/>
    <w:pPr>
      <w:spacing w:before="100" w:beforeAutospacing="1" w:after="100" w:afterAutospacing="1"/>
    </w:pPr>
    <w:rPr>
      <w:rFonts w:ascii="Times New Roman" w:eastAsiaTheme="minorEastAsia" w:hAnsi="Times New Roman" w:cs="Times New Roman"/>
      <w:szCs w:val="24"/>
      <w:lang w:eastAsia="en-GB"/>
    </w:rPr>
  </w:style>
  <w:style w:type="table" w:styleId="LightShading-Accent5">
    <w:name w:val="Light Shading Accent 5"/>
    <w:basedOn w:val="TableNormal"/>
    <w:uiPriority w:val="60"/>
    <w:rsid w:val="002168A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2168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A6F9C"/>
    <w:pPr>
      <w:tabs>
        <w:tab w:val="center" w:pos="4513"/>
        <w:tab w:val="right" w:pos="9026"/>
      </w:tabs>
    </w:pPr>
  </w:style>
  <w:style w:type="character" w:customStyle="1" w:styleId="HeaderChar">
    <w:name w:val="Header Char"/>
    <w:basedOn w:val="DefaultParagraphFont"/>
    <w:link w:val="Header"/>
    <w:uiPriority w:val="99"/>
    <w:rsid w:val="004A6F9C"/>
    <w:rPr>
      <w:rFonts w:ascii="Arial" w:eastAsia="Arial" w:hAnsi="Arial" w:cs="Arial"/>
      <w:sz w:val="24"/>
      <w:lang w:eastAsia="zh-CN"/>
    </w:rPr>
  </w:style>
  <w:style w:type="paragraph" w:styleId="Footer">
    <w:name w:val="footer"/>
    <w:basedOn w:val="Normal"/>
    <w:link w:val="FooterChar"/>
    <w:uiPriority w:val="99"/>
    <w:unhideWhenUsed/>
    <w:rsid w:val="004A6F9C"/>
    <w:pPr>
      <w:tabs>
        <w:tab w:val="center" w:pos="4513"/>
        <w:tab w:val="right" w:pos="9026"/>
      </w:tabs>
    </w:pPr>
  </w:style>
  <w:style w:type="character" w:customStyle="1" w:styleId="FooterChar">
    <w:name w:val="Footer Char"/>
    <w:basedOn w:val="DefaultParagraphFont"/>
    <w:link w:val="Footer"/>
    <w:uiPriority w:val="99"/>
    <w:rsid w:val="004A6F9C"/>
    <w:rPr>
      <w:rFonts w:ascii="Arial" w:eastAsia="Arial" w:hAnsi="Arial" w:cs="Arial"/>
      <w:sz w:val="24"/>
      <w:lang w:eastAsia="zh-CN"/>
    </w:rPr>
  </w:style>
  <w:style w:type="character" w:customStyle="1" w:styleId="Heading1Char">
    <w:name w:val="Heading 1 Char"/>
    <w:basedOn w:val="DefaultParagraphFont"/>
    <w:link w:val="Heading1"/>
    <w:uiPriority w:val="9"/>
    <w:rsid w:val="00330B8D"/>
    <w:rPr>
      <w:rFonts w:ascii="Times New Roman" w:eastAsia="Times New Roman" w:hAnsi="Times New Roman" w:cs="Times New Roman"/>
      <w:b/>
      <w:bCs/>
      <w:kern w:val="36"/>
      <w:sz w:val="48"/>
      <w:szCs w:val="48"/>
      <w:lang w:val="en-US" w:eastAsia="zh-CN"/>
    </w:rPr>
  </w:style>
  <w:style w:type="paragraph" w:styleId="Revision">
    <w:name w:val="Revision"/>
    <w:hidden/>
    <w:uiPriority w:val="99"/>
    <w:semiHidden/>
    <w:rsid w:val="00E14A09"/>
    <w:pPr>
      <w:spacing w:after="0" w:line="240" w:lineRule="auto"/>
    </w:pPr>
    <w:rPr>
      <w:rFonts w:ascii="Arial" w:eastAsia="Arial" w:hAnsi="Arial" w:cs="Arial"/>
      <w:sz w:val="24"/>
      <w:lang w:eastAsia="zh-CN"/>
    </w:rPr>
  </w:style>
  <w:style w:type="character" w:styleId="Strong">
    <w:name w:val="Strong"/>
    <w:basedOn w:val="DefaultParagraphFont"/>
    <w:uiPriority w:val="22"/>
    <w:qFormat/>
    <w:rsid w:val="00DD4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476">
      <w:bodyDiv w:val="1"/>
      <w:marLeft w:val="0"/>
      <w:marRight w:val="0"/>
      <w:marTop w:val="0"/>
      <w:marBottom w:val="0"/>
      <w:divBdr>
        <w:top w:val="none" w:sz="0" w:space="0" w:color="auto"/>
        <w:left w:val="none" w:sz="0" w:space="0" w:color="auto"/>
        <w:bottom w:val="none" w:sz="0" w:space="0" w:color="auto"/>
        <w:right w:val="none" w:sz="0" w:space="0" w:color="auto"/>
      </w:divBdr>
    </w:div>
    <w:div w:id="283391249">
      <w:bodyDiv w:val="1"/>
      <w:marLeft w:val="0"/>
      <w:marRight w:val="0"/>
      <w:marTop w:val="0"/>
      <w:marBottom w:val="0"/>
      <w:divBdr>
        <w:top w:val="none" w:sz="0" w:space="0" w:color="auto"/>
        <w:left w:val="none" w:sz="0" w:space="0" w:color="auto"/>
        <w:bottom w:val="none" w:sz="0" w:space="0" w:color="auto"/>
        <w:right w:val="none" w:sz="0" w:space="0" w:color="auto"/>
      </w:divBdr>
    </w:div>
    <w:div w:id="1267731414">
      <w:bodyDiv w:val="1"/>
      <w:marLeft w:val="0"/>
      <w:marRight w:val="0"/>
      <w:marTop w:val="0"/>
      <w:marBottom w:val="0"/>
      <w:divBdr>
        <w:top w:val="none" w:sz="0" w:space="0" w:color="auto"/>
        <w:left w:val="none" w:sz="0" w:space="0" w:color="auto"/>
        <w:bottom w:val="none" w:sz="0" w:space="0" w:color="auto"/>
        <w:right w:val="none" w:sz="0" w:space="0" w:color="auto"/>
      </w:divBdr>
    </w:div>
    <w:div w:id="1376007439">
      <w:bodyDiv w:val="1"/>
      <w:marLeft w:val="0"/>
      <w:marRight w:val="0"/>
      <w:marTop w:val="0"/>
      <w:marBottom w:val="0"/>
      <w:divBdr>
        <w:top w:val="none" w:sz="0" w:space="0" w:color="auto"/>
        <w:left w:val="none" w:sz="0" w:space="0" w:color="auto"/>
        <w:bottom w:val="none" w:sz="0" w:space="0" w:color="auto"/>
        <w:right w:val="none" w:sz="0" w:space="0" w:color="auto"/>
      </w:divBdr>
    </w:div>
    <w:div w:id="1463186245">
      <w:bodyDiv w:val="1"/>
      <w:marLeft w:val="0"/>
      <w:marRight w:val="0"/>
      <w:marTop w:val="0"/>
      <w:marBottom w:val="0"/>
      <w:divBdr>
        <w:top w:val="none" w:sz="0" w:space="0" w:color="auto"/>
        <w:left w:val="none" w:sz="0" w:space="0" w:color="auto"/>
        <w:bottom w:val="none" w:sz="0" w:space="0" w:color="auto"/>
        <w:right w:val="none" w:sz="0" w:space="0" w:color="auto"/>
      </w:divBdr>
    </w:div>
    <w:div w:id="19641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reventionweb.net/files/50683_oiewgreportenglish.pdf" TargetMode="External"/><Relationship Id="rId3" Type="http://schemas.openxmlformats.org/officeDocument/2006/relationships/styles" Target="styles.xml"/><Relationship Id="rId21" Type="http://schemas.openxmlformats.org/officeDocument/2006/relationships/hyperlink" Target="http://inspire-regadmin.jrc.ec.europa.eu/dataspecification/ThemeOverview.action?themeId1=au" TargetMode="External"/><Relationship Id="rId7" Type="http://schemas.openxmlformats.org/officeDocument/2006/relationships/footnotes" Target="footnotes.xml"/><Relationship Id="rId12" Type="http://schemas.openxmlformats.org/officeDocument/2006/relationships/image" Target="cid:image002.jpg@01D4710B.CB3DF040" TargetMode="External"/><Relationship Id="rId17" Type="http://schemas.openxmlformats.org/officeDocument/2006/relationships/header" Target="header3.xml"/><Relationship Id="rId25" Type="http://schemas.openxmlformats.org/officeDocument/2006/relationships/hyperlink" Target="http://www.unisdr.org/files/43291_sendaiframeworkfordrr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reventionweb.net/files/50683_resultsoftheinformalconsultationsof.pdf" TargetMode="External"/><Relationship Id="rId29" Type="http://schemas.openxmlformats.org/officeDocument/2006/relationships/hyperlink" Target="https://www.unisdr.org/files/54970_techguidancefdigitalh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data.worldbank.org/topic/pover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epal.org/publicaciones/xml/0/47330/olainvernalcolombia2010-2011.pdf" TargetMode="External"/><Relationship Id="rId28" Type="http://schemas.openxmlformats.org/officeDocument/2006/relationships/hyperlink" Target="http://www.gaia-geosystems.org/PROJECTS/SIIEM/PHL/Green_Paper_DSWD-SIIEM_305014.pdf" TargetMode="External"/><Relationship Id="rId10" Type="http://schemas.openxmlformats.org/officeDocument/2006/relationships/hyperlink" Target="https://sendaimonitor.unisdr.org/" TargetMode="External"/><Relationship Id="rId19" Type="http://schemas.openxmlformats.org/officeDocument/2006/relationships/hyperlink" Target="http://reliefweb.int/report/world/report-open-ended-intergovernmental-expert-working-group-indicators-and-terminology"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cepal.org/publicaciones/xml/0/47330/olainvernalcolombia2010-2011.pdf" TargetMode="External"/><Relationship Id="rId27" Type="http://schemas.openxmlformats.org/officeDocument/2006/relationships/hyperlink" Target="http://currents.plos.org/disasters/index.html%3Fp=36974.html" TargetMode="External"/><Relationship Id="rId30" Type="http://schemas.openxmlformats.org/officeDocument/2006/relationships/hyperlink" Target="http://publications.jrc.ec.europa.eu/repository/bitstream/JRC95505/lbna27192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1AC97-99F1-4E5A-98D6-60341DA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Tanith Palmer</dc:creator>
  <cp:lastModifiedBy>Jonathan Abrahams</cp:lastModifiedBy>
  <cp:revision>5</cp:revision>
  <dcterms:created xsi:type="dcterms:W3CDTF">2018-11-18T11:41:00Z</dcterms:created>
  <dcterms:modified xsi:type="dcterms:W3CDTF">2018-11-18T15:14:00Z</dcterms:modified>
</cp:coreProperties>
</file>