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8646" w14:textId="77777777" w:rsidR="00F932F3" w:rsidRDefault="00F932F3" w:rsidP="00940B50">
      <w:pPr>
        <w:pStyle w:val="Body1"/>
        <w:spacing w:after="120" w:line="276" w:lineRule="auto"/>
        <w:rPr>
          <w:rFonts w:asciiTheme="minorHAnsi" w:eastAsia="Times New Roman" w:hAnsiTheme="minorHAnsi" w:cstheme="minorBid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3198"/>
        <w:gridCol w:w="970"/>
        <w:gridCol w:w="2097"/>
      </w:tblGrid>
      <w:tr w:rsidR="00C328D3" w14:paraId="68EE9447" w14:textId="77777777" w:rsidTr="005D63F3">
        <w:tc>
          <w:tcPr>
            <w:tcW w:w="2751" w:type="dxa"/>
          </w:tcPr>
          <w:p w14:paraId="47451B53" w14:textId="77777777" w:rsidR="005D63F3" w:rsidRPr="005D63F3" w:rsidRDefault="005D63F3" w:rsidP="419D168B">
            <w:pPr>
              <w:pStyle w:val="Body1"/>
              <w:spacing w:after="120" w:line="276" w:lineRule="auto"/>
              <w:jc w:val="center"/>
              <w:rPr>
                <w:rFonts w:asciiTheme="minorHAnsi" w:eastAsia="Times New Roman" w:hAnsiTheme="minorHAnsi" w:cstheme="minorBidi"/>
                <w:b/>
                <w:bCs/>
                <w:sz w:val="6"/>
                <w:szCs w:val="6"/>
              </w:rPr>
            </w:pPr>
          </w:p>
          <w:p w14:paraId="6914EA54" w14:textId="53E65B30" w:rsidR="00940B50" w:rsidRDefault="00940B50" w:rsidP="419D168B">
            <w:pPr>
              <w:pStyle w:val="Body1"/>
              <w:spacing w:after="120" w:line="276" w:lineRule="auto"/>
              <w:jc w:val="center"/>
              <w:rPr>
                <w:rFonts w:asciiTheme="minorHAnsi" w:eastAsia="Times New Roman" w:hAnsiTheme="minorHAnsi" w:cstheme="minorBidi"/>
                <w:b/>
                <w:bCs/>
                <w:sz w:val="22"/>
                <w:szCs w:val="22"/>
              </w:rPr>
            </w:pPr>
            <w:r>
              <w:rPr>
                <w:noProof/>
                <w14:ligatures w14:val="standardContextual"/>
              </w:rPr>
              <w:drawing>
                <wp:inline distT="0" distB="0" distL="0" distR="0" wp14:anchorId="1F9AB8A6" wp14:editId="0DAA705B">
                  <wp:extent cx="826936" cy="826936"/>
                  <wp:effectExtent l="0" t="0" r="0" b="0"/>
                  <wp:docPr id="1829842583" name="Picture 2"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71233" name="Picture 2" descr="A blue square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670" cy="840670"/>
                          </a:xfrm>
                          <a:prstGeom prst="rect">
                            <a:avLst/>
                          </a:prstGeom>
                        </pic:spPr>
                      </pic:pic>
                    </a:graphicData>
                  </a:graphic>
                </wp:inline>
              </w:drawing>
            </w:r>
          </w:p>
        </w:tc>
        <w:tc>
          <w:tcPr>
            <w:tcW w:w="3198" w:type="dxa"/>
          </w:tcPr>
          <w:p w14:paraId="343E9398" w14:textId="77777777" w:rsidR="005D63F3" w:rsidRPr="005D63F3" w:rsidRDefault="005D63F3" w:rsidP="419D168B">
            <w:pPr>
              <w:pStyle w:val="Body1"/>
              <w:spacing w:after="120" w:line="276" w:lineRule="auto"/>
              <w:jc w:val="center"/>
              <w:rPr>
                <w:rFonts w:asciiTheme="minorHAnsi" w:eastAsia="Times New Roman" w:hAnsiTheme="minorHAnsi" w:cstheme="minorBidi"/>
                <w:b/>
                <w:bCs/>
                <w:sz w:val="8"/>
                <w:szCs w:val="8"/>
              </w:rPr>
            </w:pPr>
          </w:p>
          <w:p w14:paraId="7D46EA9E" w14:textId="24A3A005" w:rsidR="00940B50" w:rsidRDefault="005D63F3" w:rsidP="419D168B">
            <w:pPr>
              <w:pStyle w:val="Body1"/>
              <w:spacing w:after="120" w:line="276" w:lineRule="auto"/>
              <w:jc w:val="center"/>
              <w:rPr>
                <w:rFonts w:asciiTheme="minorHAnsi" w:eastAsia="Times New Roman" w:hAnsiTheme="minorHAnsi" w:cstheme="minorBidi"/>
                <w:b/>
                <w:bCs/>
                <w:sz w:val="22"/>
                <w:szCs w:val="22"/>
              </w:rPr>
            </w:pPr>
            <w:r>
              <w:rPr>
                <w:noProof/>
                <w14:ligatures w14:val="standardContextual"/>
              </w:rPr>
              <w:drawing>
                <wp:inline distT="0" distB="0" distL="0" distR="0" wp14:anchorId="424F176A" wp14:editId="6F420A4F">
                  <wp:extent cx="1695228" cy="636607"/>
                  <wp:effectExtent l="0" t="0" r="635" b="0"/>
                  <wp:docPr id="1604950215" name="Picture 1" descr="7724A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50215" name="Picture 1" descr="7724A471"/>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05504" cy="640466"/>
                          </a:xfrm>
                          <a:prstGeom prst="rect">
                            <a:avLst/>
                          </a:prstGeom>
                          <a:noFill/>
                          <a:ln>
                            <a:noFill/>
                          </a:ln>
                        </pic:spPr>
                      </pic:pic>
                    </a:graphicData>
                  </a:graphic>
                </wp:inline>
              </w:drawing>
            </w:r>
          </w:p>
          <w:p w14:paraId="626E7FFD" w14:textId="1B19A802" w:rsidR="005D63F3" w:rsidRDefault="005D63F3" w:rsidP="419D168B">
            <w:pPr>
              <w:pStyle w:val="Body1"/>
              <w:spacing w:after="120" w:line="276" w:lineRule="auto"/>
              <w:jc w:val="center"/>
              <w:rPr>
                <w:rFonts w:asciiTheme="minorHAnsi" w:eastAsia="Times New Roman" w:hAnsiTheme="minorHAnsi" w:cstheme="minorBidi"/>
                <w:b/>
                <w:bCs/>
                <w:sz w:val="22"/>
                <w:szCs w:val="22"/>
              </w:rPr>
            </w:pPr>
          </w:p>
        </w:tc>
        <w:tc>
          <w:tcPr>
            <w:tcW w:w="970" w:type="dxa"/>
          </w:tcPr>
          <w:p w14:paraId="44310731" w14:textId="77777777" w:rsidR="00940B50" w:rsidRDefault="00940B50" w:rsidP="419D168B">
            <w:pPr>
              <w:pStyle w:val="Body1"/>
              <w:spacing w:after="120" w:line="276" w:lineRule="auto"/>
              <w:jc w:val="center"/>
              <w:rPr>
                <w:rFonts w:asciiTheme="minorHAnsi" w:eastAsia="Times New Roman" w:hAnsiTheme="minorHAnsi" w:cstheme="minorBidi"/>
                <w:b/>
                <w:bCs/>
                <w:sz w:val="22"/>
                <w:szCs w:val="22"/>
              </w:rPr>
            </w:pPr>
          </w:p>
        </w:tc>
        <w:tc>
          <w:tcPr>
            <w:tcW w:w="2097" w:type="dxa"/>
          </w:tcPr>
          <w:p w14:paraId="64BB0292" w14:textId="3DB64975" w:rsidR="00940B50" w:rsidRPr="00C328D3" w:rsidRDefault="00940B50" w:rsidP="419D168B">
            <w:pPr>
              <w:pStyle w:val="Body1"/>
              <w:spacing w:after="120" w:line="276" w:lineRule="auto"/>
              <w:jc w:val="center"/>
              <w:rPr>
                <w:rFonts w:asciiTheme="minorHAnsi" w:eastAsia="Times New Roman" w:hAnsiTheme="minorHAnsi" w:cstheme="minorBidi"/>
                <w:b/>
                <w:bCs/>
                <w:sz w:val="10"/>
                <w:szCs w:val="10"/>
              </w:rPr>
            </w:pPr>
          </w:p>
          <w:p w14:paraId="27EDCD6D" w14:textId="75560D29" w:rsidR="00940B50" w:rsidRDefault="005D63F3" w:rsidP="419D168B">
            <w:pPr>
              <w:pStyle w:val="Body1"/>
              <w:spacing w:after="120" w:line="276" w:lineRule="auto"/>
              <w:jc w:val="center"/>
              <w:rPr>
                <w:rFonts w:asciiTheme="minorHAnsi" w:eastAsia="Times New Roman" w:hAnsiTheme="minorHAnsi" w:cstheme="minorBidi"/>
                <w:b/>
                <w:bCs/>
                <w:sz w:val="22"/>
                <w:szCs w:val="22"/>
              </w:rPr>
            </w:pPr>
            <w:r>
              <w:rPr>
                <w:noProof/>
              </w:rPr>
              <w:drawing>
                <wp:inline distT="0" distB="0" distL="0" distR="0" wp14:anchorId="6D978765" wp14:editId="6CE08C55">
                  <wp:extent cx="994595" cy="668387"/>
                  <wp:effectExtent l="0" t="0" r="0" b="0"/>
                  <wp:docPr id="1092164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6881" cy="676644"/>
                          </a:xfrm>
                          <a:prstGeom prst="rect">
                            <a:avLst/>
                          </a:prstGeom>
                          <a:noFill/>
                          <a:ln>
                            <a:noFill/>
                          </a:ln>
                        </pic:spPr>
                      </pic:pic>
                    </a:graphicData>
                  </a:graphic>
                </wp:inline>
              </w:drawing>
            </w:r>
          </w:p>
        </w:tc>
      </w:tr>
    </w:tbl>
    <w:p w14:paraId="540D2F7E" w14:textId="6241120D" w:rsidR="00791E2E" w:rsidRPr="00C328D3" w:rsidRDefault="00035322" w:rsidP="419D168B">
      <w:pPr>
        <w:pStyle w:val="Body1"/>
        <w:spacing w:after="120" w:line="276" w:lineRule="auto"/>
        <w:jc w:val="center"/>
        <w:rPr>
          <w:rFonts w:asciiTheme="minorHAnsi" w:eastAsia="SimSun" w:hAnsiTheme="minorHAnsi" w:cstheme="minorHAnsi"/>
          <w:b/>
          <w:color w:val="0070C0"/>
          <w:sz w:val="30"/>
          <w:szCs w:val="30"/>
          <w:lang w:val="en-GB" w:eastAsia="en-GB" w:bidi="ar-SA"/>
        </w:rPr>
      </w:pPr>
      <w:r w:rsidRPr="00C328D3">
        <w:rPr>
          <w:rFonts w:asciiTheme="minorHAnsi" w:eastAsia="SimSun" w:hAnsiTheme="minorHAnsi" w:cstheme="minorHAnsi"/>
          <w:b/>
          <w:color w:val="0070C0"/>
          <w:sz w:val="30"/>
          <w:szCs w:val="30"/>
          <w:lang w:val="en-GB" w:eastAsia="en-GB" w:bidi="ar-SA"/>
        </w:rPr>
        <w:t>Side Event</w:t>
      </w:r>
      <w:r w:rsidR="00176B51" w:rsidRPr="00C328D3">
        <w:rPr>
          <w:rFonts w:asciiTheme="minorHAnsi" w:eastAsia="SimSun" w:hAnsiTheme="minorHAnsi" w:cstheme="minorHAnsi"/>
          <w:b/>
          <w:color w:val="0070C0"/>
          <w:sz w:val="30"/>
          <w:szCs w:val="30"/>
          <w:lang w:val="en-GB" w:eastAsia="en-GB" w:bidi="ar-SA"/>
        </w:rPr>
        <w:t>:</w:t>
      </w:r>
      <w:r w:rsidR="000C63CF" w:rsidRPr="00C328D3">
        <w:rPr>
          <w:rFonts w:asciiTheme="minorHAnsi" w:eastAsia="SimSun" w:hAnsiTheme="minorHAnsi" w:cstheme="minorHAnsi"/>
          <w:b/>
          <w:color w:val="0070C0"/>
          <w:sz w:val="30"/>
          <w:szCs w:val="30"/>
          <w:lang w:val="en-GB" w:eastAsia="en-GB" w:bidi="ar-SA"/>
        </w:rPr>
        <w:t xml:space="preserve"> A</w:t>
      </w:r>
      <w:r w:rsidR="29D8C2B3" w:rsidRPr="00C328D3">
        <w:rPr>
          <w:rFonts w:asciiTheme="minorHAnsi" w:eastAsia="SimSun" w:hAnsiTheme="minorHAnsi" w:cstheme="minorHAnsi"/>
          <w:b/>
          <w:color w:val="0070C0"/>
          <w:sz w:val="30"/>
          <w:szCs w:val="30"/>
          <w:lang w:val="en-GB" w:eastAsia="en-GB" w:bidi="ar-SA"/>
        </w:rPr>
        <w:t xml:space="preserve">ccess to </w:t>
      </w:r>
      <w:r w:rsidR="000C63CF" w:rsidRPr="00C328D3">
        <w:rPr>
          <w:rFonts w:asciiTheme="minorHAnsi" w:eastAsia="SimSun" w:hAnsiTheme="minorHAnsi" w:cstheme="minorHAnsi"/>
          <w:b/>
          <w:color w:val="0070C0"/>
          <w:sz w:val="30"/>
          <w:szCs w:val="30"/>
          <w:lang w:val="en-GB" w:eastAsia="en-GB" w:bidi="ar-SA"/>
        </w:rPr>
        <w:t>M</w:t>
      </w:r>
      <w:r w:rsidR="29D8C2B3" w:rsidRPr="00C328D3">
        <w:rPr>
          <w:rFonts w:asciiTheme="minorHAnsi" w:eastAsia="SimSun" w:hAnsiTheme="minorHAnsi" w:cstheme="minorHAnsi"/>
          <w:b/>
          <w:color w:val="0070C0"/>
          <w:sz w:val="30"/>
          <w:szCs w:val="30"/>
          <w:lang w:val="en-GB" w:eastAsia="en-GB" w:bidi="ar-SA"/>
        </w:rPr>
        <w:t xml:space="preserve">edicines, </w:t>
      </w:r>
      <w:r w:rsidR="000C63CF" w:rsidRPr="00C328D3">
        <w:rPr>
          <w:rFonts w:asciiTheme="minorHAnsi" w:eastAsia="SimSun" w:hAnsiTheme="minorHAnsi" w:cstheme="minorHAnsi"/>
          <w:b/>
          <w:color w:val="0070C0"/>
          <w:sz w:val="30"/>
          <w:szCs w:val="30"/>
          <w:lang w:val="en-GB" w:eastAsia="en-GB" w:bidi="ar-SA"/>
        </w:rPr>
        <w:t>V</w:t>
      </w:r>
      <w:r w:rsidR="29D8C2B3" w:rsidRPr="00C328D3">
        <w:rPr>
          <w:rFonts w:asciiTheme="minorHAnsi" w:eastAsia="SimSun" w:hAnsiTheme="minorHAnsi" w:cstheme="minorHAnsi"/>
          <w:b/>
          <w:color w:val="0070C0"/>
          <w:sz w:val="30"/>
          <w:szCs w:val="30"/>
          <w:lang w:val="en-GB" w:eastAsia="en-GB" w:bidi="ar-SA"/>
        </w:rPr>
        <w:t xml:space="preserve">accines and other </w:t>
      </w:r>
      <w:r w:rsidR="000C63CF" w:rsidRPr="00C328D3">
        <w:rPr>
          <w:rFonts w:asciiTheme="minorHAnsi" w:eastAsia="SimSun" w:hAnsiTheme="minorHAnsi" w:cstheme="minorHAnsi"/>
          <w:b/>
          <w:color w:val="0070C0"/>
          <w:sz w:val="30"/>
          <w:szCs w:val="30"/>
          <w:lang w:val="en-GB" w:eastAsia="en-GB" w:bidi="ar-SA"/>
        </w:rPr>
        <w:t>H</w:t>
      </w:r>
      <w:r w:rsidR="29D8C2B3" w:rsidRPr="00C328D3">
        <w:rPr>
          <w:rFonts w:asciiTheme="minorHAnsi" w:eastAsia="SimSun" w:hAnsiTheme="minorHAnsi" w:cstheme="minorHAnsi"/>
          <w:b/>
          <w:color w:val="0070C0"/>
          <w:sz w:val="30"/>
          <w:szCs w:val="30"/>
          <w:lang w:val="en-GB" w:eastAsia="en-GB" w:bidi="ar-SA"/>
        </w:rPr>
        <w:t xml:space="preserve">ealth </w:t>
      </w:r>
      <w:r w:rsidR="000C63CF" w:rsidRPr="00C328D3">
        <w:rPr>
          <w:rFonts w:asciiTheme="minorHAnsi" w:eastAsia="SimSun" w:hAnsiTheme="minorHAnsi" w:cstheme="minorHAnsi"/>
          <w:b/>
          <w:color w:val="0070C0"/>
          <w:sz w:val="30"/>
          <w:szCs w:val="30"/>
          <w:lang w:val="en-GB" w:eastAsia="en-GB" w:bidi="ar-SA"/>
        </w:rPr>
        <w:t>P</w:t>
      </w:r>
      <w:r w:rsidR="6CA5E182" w:rsidRPr="00C328D3">
        <w:rPr>
          <w:rFonts w:asciiTheme="minorHAnsi" w:eastAsia="SimSun" w:hAnsiTheme="minorHAnsi" w:cstheme="minorHAnsi"/>
          <w:b/>
          <w:color w:val="0070C0"/>
          <w:sz w:val="30"/>
          <w:szCs w:val="30"/>
          <w:lang w:val="en-GB" w:eastAsia="en-GB" w:bidi="ar-SA"/>
        </w:rPr>
        <w:t>roducts</w:t>
      </w:r>
    </w:p>
    <w:p w14:paraId="18E3CCE4" w14:textId="43C4A5FD" w:rsidR="00791E2E" w:rsidRPr="00DD2BE7" w:rsidRDefault="00791E2E" w:rsidP="002B6097">
      <w:pPr>
        <w:spacing w:before="120" w:after="240"/>
        <w:jc w:val="center"/>
        <w:rPr>
          <w:rStyle w:val="apple-converted-space"/>
          <w:rFonts w:cstheme="minorHAnsi"/>
          <w:b/>
          <w:bCs/>
          <w:sz w:val="24"/>
          <w:szCs w:val="24"/>
        </w:rPr>
      </w:pPr>
      <w:r w:rsidRPr="00DD2BE7">
        <w:rPr>
          <w:rStyle w:val="apple-converted-space"/>
          <w:rFonts w:cstheme="minorHAnsi"/>
          <w:b/>
          <w:bCs/>
          <w:sz w:val="24"/>
          <w:szCs w:val="24"/>
        </w:rPr>
        <w:t xml:space="preserve">Concept </w:t>
      </w:r>
      <w:r w:rsidR="00781DC3" w:rsidRPr="00DD2BE7">
        <w:rPr>
          <w:rStyle w:val="apple-converted-space"/>
          <w:rFonts w:cstheme="minorHAnsi"/>
          <w:b/>
          <w:bCs/>
          <w:sz w:val="24"/>
          <w:szCs w:val="24"/>
        </w:rPr>
        <w:t>N</w:t>
      </w:r>
      <w:r w:rsidR="0042070F" w:rsidRPr="00DD2BE7">
        <w:rPr>
          <w:rStyle w:val="apple-converted-space"/>
          <w:rFonts w:cstheme="minorHAnsi"/>
          <w:b/>
          <w:bCs/>
          <w:sz w:val="24"/>
          <w:szCs w:val="24"/>
        </w:rPr>
        <w:t>ote</w:t>
      </w:r>
    </w:p>
    <w:p w14:paraId="1BB2FDFA" w14:textId="25A1A4BC" w:rsidR="00781DC3" w:rsidRPr="00C328D3" w:rsidRDefault="00781DC3" w:rsidP="002B6097">
      <w:pPr>
        <w:spacing w:before="120" w:after="240"/>
        <w:jc w:val="center"/>
        <w:rPr>
          <w:rFonts w:cstheme="minorHAnsi"/>
          <w:b/>
          <w:bCs/>
        </w:rPr>
      </w:pPr>
      <w:r w:rsidRPr="00C328D3">
        <w:rPr>
          <w:rStyle w:val="apple-converted-space"/>
          <w:b/>
          <w:bCs/>
        </w:rPr>
        <w:t>HRC59</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8363"/>
      </w:tblGrid>
      <w:tr w:rsidR="00791E2E" w:rsidRPr="00D42EF2" w14:paraId="5C238E20" w14:textId="77777777" w:rsidTr="419D168B">
        <w:tc>
          <w:tcPr>
            <w:tcW w:w="1844" w:type="dxa"/>
          </w:tcPr>
          <w:p w14:paraId="763811AE" w14:textId="77777777" w:rsidR="00791E2E" w:rsidRPr="002B6097" w:rsidRDefault="00791E2E" w:rsidP="002B6097">
            <w:pPr>
              <w:spacing w:after="0"/>
              <w:rPr>
                <w:rFonts w:cstheme="minorHAnsi"/>
                <w:b/>
                <w:sz w:val="22"/>
                <w:szCs w:val="22"/>
              </w:rPr>
            </w:pPr>
            <w:r w:rsidRPr="00991FAD">
              <w:rPr>
                <w:rFonts w:cstheme="minorHAnsi"/>
                <w:b/>
                <w:color w:val="0070C0"/>
                <w:sz w:val="22"/>
                <w:szCs w:val="22"/>
              </w:rPr>
              <w:t>Date and venue</w:t>
            </w:r>
          </w:p>
        </w:tc>
        <w:tc>
          <w:tcPr>
            <w:tcW w:w="8363" w:type="dxa"/>
          </w:tcPr>
          <w:p w14:paraId="600B2BA8" w14:textId="7B155A47" w:rsidR="00791E2E" w:rsidRPr="00D42EF2" w:rsidRDefault="0081672B" w:rsidP="002B6097">
            <w:pPr>
              <w:spacing w:after="0"/>
              <w:rPr>
                <w:rFonts w:cstheme="minorHAnsi"/>
                <w:b/>
                <w:sz w:val="22"/>
                <w:szCs w:val="22"/>
                <w:lang w:val="en-US"/>
              </w:rPr>
            </w:pPr>
            <w:r w:rsidRPr="00D42EF2">
              <w:rPr>
                <w:rFonts w:cstheme="minorHAnsi"/>
                <w:b/>
                <w:sz w:val="22"/>
                <w:szCs w:val="22"/>
                <w:lang w:val="en-US"/>
              </w:rPr>
              <w:t>4 July 2025, 1</w:t>
            </w:r>
            <w:r w:rsidR="00D42EF2" w:rsidRPr="00D42EF2">
              <w:rPr>
                <w:rFonts w:cstheme="minorHAnsi"/>
                <w:b/>
                <w:sz w:val="22"/>
                <w:szCs w:val="22"/>
                <w:lang w:val="en-US"/>
              </w:rPr>
              <w:t xml:space="preserve">4:00 to </w:t>
            </w:r>
            <w:r w:rsidRPr="00D42EF2">
              <w:rPr>
                <w:rFonts w:cstheme="minorHAnsi"/>
                <w:b/>
                <w:sz w:val="22"/>
                <w:szCs w:val="22"/>
                <w:lang w:val="en-US"/>
              </w:rPr>
              <w:t>15</w:t>
            </w:r>
            <w:r w:rsidR="00D42EF2" w:rsidRPr="00D42EF2">
              <w:rPr>
                <w:rFonts w:cstheme="minorHAnsi"/>
                <w:b/>
                <w:sz w:val="22"/>
                <w:szCs w:val="22"/>
                <w:lang w:val="en-US"/>
              </w:rPr>
              <w:t>:00</w:t>
            </w:r>
            <w:r w:rsidR="008227C9" w:rsidRPr="00D42EF2">
              <w:rPr>
                <w:rFonts w:cstheme="minorHAnsi"/>
                <w:b/>
                <w:sz w:val="22"/>
                <w:szCs w:val="22"/>
                <w:lang w:val="en-US"/>
              </w:rPr>
              <w:t xml:space="preserve">, </w:t>
            </w:r>
            <w:r w:rsidR="00D42EF2" w:rsidRPr="00D42EF2">
              <w:rPr>
                <w:rFonts w:cstheme="minorHAnsi"/>
                <w:b/>
                <w:sz w:val="22"/>
                <w:szCs w:val="22"/>
                <w:lang w:val="en-US"/>
              </w:rPr>
              <w:t xml:space="preserve">Room XXIV </w:t>
            </w:r>
            <w:r w:rsidR="008227C9" w:rsidRPr="00D42EF2">
              <w:rPr>
                <w:rFonts w:cstheme="minorHAnsi"/>
                <w:b/>
                <w:sz w:val="22"/>
                <w:szCs w:val="22"/>
                <w:lang w:val="en-US"/>
              </w:rPr>
              <w:t xml:space="preserve">Palais des Nations </w:t>
            </w:r>
          </w:p>
          <w:p w14:paraId="2796B828" w14:textId="77777777" w:rsidR="00791E2E" w:rsidRPr="00D42EF2" w:rsidRDefault="00791E2E" w:rsidP="00D42EF2">
            <w:pPr>
              <w:spacing w:after="0"/>
              <w:rPr>
                <w:rFonts w:cstheme="minorHAnsi"/>
                <w:b/>
                <w:sz w:val="22"/>
                <w:szCs w:val="22"/>
                <w:lang w:val="en-CH"/>
              </w:rPr>
            </w:pPr>
          </w:p>
        </w:tc>
      </w:tr>
      <w:tr w:rsidR="003E5BAD" w:rsidRPr="002B6097" w14:paraId="1FC1026D" w14:textId="77777777" w:rsidTr="008F69D1">
        <w:tc>
          <w:tcPr>
            <w:tcW w:w="1844" w:type="dxa"/>
          </w:tcPr>
          <w:p w14:paraId="3F54F5CA" w14:textId="77777777" w:rsidR="003E5BAD" w:rsidRPr="001E405B" w:rsidRDefault="003E5BAD" w:rsidP="008F69D1">
            <w:pPr>
              <w:spacing w:after="0"/>
              <w:rPr>
                <w:rFonts w:cstheme="minorHAnsi"/>
                <w:b/>
                <w:color w:val="0070C0"/>
              </w:rPr>
            </w:pPr>
            <w:r w:rsidRPr="00E94B47">
              <w:rPr>
                <w:rFonts w:cstheme="minorHAnsi"/>
                <w:b/>
                <w:color w:val="0070C0"/>
                <w:sz w:val="22"/>
                <w:szCs w:val="22"/>
              </w:rPr>
              <w:t>Registration</w:t>
            </w:r>
          </w:p>
        </w:tc>
        <w:tc>
          <w:tcPr>
            <w:tcW w:w="8363" w:type="dxa"/>
          </w:tcPr>
          <w:p w14:paraId="1D56A33C" w14:textId="2C40909D" w:rsidR="003E5BAD" w:rsidRPr="00B27FCD" w:rsidRDefault="003E5BAD" w:rsidP="003E5BAD">
            <w:pPr>
              <w:spacing w:after="0"/>
              <w:rPr>
                <w:rFonts w:cstheme="minorHAnsi"/>
                <w:b/>
                <w:sz w:val="22"/>
                <w:szCs w:val="22"/>
              </w:rPr>
            </w:pPr>
            <w:r w:rsidRPr="00B27FCD">
              <w:rPr>
                <w:rFonts w:cstheme="minorHAnsi"/>
                <w:b/>
                <w:sz w:val="22"/>
                <w:szCs w:val="22"/>
              </w:rPr>
              <w:t xml:space="preserve">Please register for this event using this </w:t>
            </w:r>
            <w:hyperlink r:id="rId14" w:history="1">
              <w:r w:rsidRPr="008E10B7">
                <w:rPr>
                  <w:rStyle w:val="Hyperlink"/>
                  <w:rFonts w:cstheme="minorHAnsi"/>
                  <w:b/>
                  <w:sz w:val="22"/>
                  <w:szCs w:val="22"/>
                  <w:lang w:eastAsia="en-US"/>
                </w:rPr>
                <w:t>IN</w:t>
              </w:r>
              <w:r w:rsidRPr="008E10B7">
                <w:rPr>
                  <w:rStyle w:val="Hyperlink"/>
                  <w:rFonts w:cstheme="minorHAnsi"/>
                  <w:b/>
                  <w:sz w:val="22"/>
                  <w:szCs w:val="22"/>
                </w:rPr>
                <w:t>D</w:t>
              </w:r>
              <w:r w:rsidRPr="008E10B7">
                <w:rPr>
                  <w:rStyle w:val="Hyperlink"/>
                  <w:rFonts w:cstheme="minorHAnsi"/>
                  <w:b/>
                  <w:sz w:val="22"/>
                  <w:szCs w:val="22"/>
                </w:rPr>
                <w:t>I</w:t>
              </w:r>
              <w:r w:rsidRPr="008E10B7">
                <w:rPr>
                  <w:rStyle w:val="Hyperlink"/>
                  <w:rFonts w:cstheme="minorHAnsi"/>
                  <w:b/>
                  <w:sz w:val="22"/>
                  <w:szCs w:val="22"/>
                </w:rPr>
                <w:t>C</w:t>
              </w:r>
              <w:r w:rsidRPr="008E10B7">
                <w:rPr>
                  <w:rStyle w:val="Hyperlink"/>
                  <w:rFonts w:cstheme="minorHAnsi"/>
                  <w:b/>
                  <w:sz w:val="22"/>
                  <w:szCs w:val="22"/>
                </w:rPr>
                <w:t>O</w:t>
              </w:r>
              <w:r w:rsidRPr="008E10B7">
                <w:rPr>
                  <w:rStyle w:val="Hyperlink"/>
                  <w:rFonts w:cstheme="minorHAnsi"/>
                  <w:b/>
                  <w:sz w:val="22"/>
                  <w:szCs w:val="22"/>
                </w:rPr>
                <w:t xml:space="preserve"> </w:t>
              </w:r>
              <w:r w:rsidRPr="008E10B7">
                <w:rPr>
                  <w:rStyle w:val="Hyperlink"/>
                  <w:rFonts w:cstheme="minorHAnsi"/>
                  <w:b/>
                  <w:sz w:val="22"/>
                  <w:szCs w:val="22"/>
                </w:rPr>
                <w:t>l</w:t>
              </w:r>
              <w:r w:rsidRPr="008E10B7">
                <w:rPr>
                  <w:rStyle w:val="Hyperlink"/>
                  <w:rFonts w:cstheme="minorHAnsi"/>
                  <w:b/>
                  <w:sz w:val="22"/>
                  <w:szCs w:val="22"/>
                </w:rPr>
                <w:t>ink</w:t>
              </w:r>
            </w:hyperlink>
          </w:p>
        </w:tc>
      </w:tr>
      <w:tr w:rsidR="00B472A9" w:rsidRPr="00D42EF2" w14:paraId="33DB0281" w14:textId="77777777" w:rsidTr="419D168B">
        <w:tc>
          <w:tcPr>
            <w:tcW w:w="1844" w:type="dxa"/>
          </w:tcPr>
          <w:p w14:paraId="5B02690C" w14:textId="77777777" w:rsidR="00B472A9" w:rsidRPr="002B6097" w:rsidRDefault="00B472A9" w:rsidP="002B6097">
            <w:pPr>
              <w:spacing w:after="0"/>
              <w:rPr>
                <w:rFonts w:cstheme="minorHAnsi"/>
                <w:b/>
              </w:rPr>
            </w:pPr>
          </w:p>
        </w:tc>
        <w:tc>
          <w:tcPr>
            <w:tcW w:w="8363" w:type="dxa"/>
          </w:tcPr>
          <w:p w14:paraId="0684E893" w14:textId="77777777" w:rsidR="00B472A9" w:rsidRPr="00D42EF2" w:rsidRDefault="00B472A9" w:rsidP="002B6097">
            <w:pPr>
              <w:spacing w:after="0"/>
              <w:rPr>
                <w:rFonts w:cstheme="minorHAnsi"/>
                <w:b/>
                <w:lang w:val="en-US"/>
              </w:rPr>
            </w:pPr>
          </w:p>
        </w:tc>
      </w:tr>
      <w:tr w:rsidR="00791E2E" w:rsidRPr="002B6097" w14:paraId="58163EF8" w14:textId="77777777" w:rsidTr="419D168B">
        <w:trPr>
          <w:trHeight w:val="745"/>
        </w:trPr>
        <w:tc>
          <w:tcPr>
            <w:tcW w:w="1844" w:type="dxa"/>
          </w:tcPr>
          <w:p w14:paraId="5B105949" w14:textId="090FDF34" w:rsidR="00791E2E" w:rsidRPr="002B6097" w:rsidRDefault="00991FAD" w:rsidP="002B6097">
            <w:pPr>
              <w:spacing w:after="0"/>
              <w:rPr>
                <w:rFonts w:cstheme="minorHAnsi"/>
                <w:b/>
                <w:sz w:val="22"/>
                <w:szCs w:val="22"/>
              </w:rPr>
            </w:pPr>
            <w:r>
              <w:rPr>
                <w:rFonts w:cstheme="minorHAnsi"/>
                <w:b/>
                <w:color w:val="0070C0"/>
                <w:sz w:val="22"/>
                <w:szCs w:val="22"/>
              </w:rPr>
              <w:t>Background</w:t>
            </w:r>
          </w:p>
        </w:tc>
        <w:tc>
          <w:tcPr>
            <w:tcW w:w="8363" w:type="dxa"/>
          </w:tcPr>
          <w:p w14:paraId="36F1E7AD" w14:textId="5B5637B1" w:rsidR="003237DF" w:rsidRDefault="003237DF" w:rsidP="001F08E1">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Pr="003237DF">
              <w:rPr>
                <w:rFonts w:asciiTheme="minorHAnsi" w:hAnsiTheme="minorHAnsi" w:cstheme="minorHAnsi"/>
                <w:color w:val="auto"/>
                <w:sz w:val="22"/>
                <w:szCs w:val="22"/>
              </w:rPr>
              <w:t xml:space="preserve">ccess to essential medicines, vaccines, diagnostics, and other health products is a </w:t>
            </w:r>
            <w:r w:rsidR="00372C43">
              <w:rPr>
                <w:rFonts w:asciiTheme="minorHAnsi" w:hAnsiTheme="minorHAnsi" w:cstheme="minorHAnsi"/>
                <w:color w:val="auto"/>
                <w:sz w:val="22"/>
                <w:szCs w:val="22"/>
              </w:rPr>
              <w:t>critical element</w:t>
            </w:r>
            <w:r w:rsidRPr="003237DF">
              <w:rPr>
                <w:rFonts w:asciiTheme="minorHAnsi" w:hAnsiTheme="minorHAnsi" w:cstheme="minorHAnsi"/>
                <w:color w:val="auto"/>
                <w:sz w:val="22"/>
                <w:szCs w:val="22"/>
              </w:rPr>
              <w:t xml:space="preserve"> of the right to the highest attainable standard of physical and mental health. Yet, an estimated 2 billion people continue to lack access to essential medicines, and stark disparities persist both within and between countries.</w:t>
            </w:r>
          </w:p>
          <w:p w14:paraId="52982622" w14:textId="77777777" w:rsidR="00DF5524" w:rsidRDefault="00DF5524" w:rsidP="001F08E1">
            <w:pPr>
              <w:pStyle w:val="Default"/>
              <w:spacing w:after="120" w:line="276" w:lineRule="auto"/>
              <w:jc w:val="both"/>
              <w:rPr>
                <w:rFonts w:asciiTheme="minorHAnsi" w:hAnsiTheme="minorHAnsi" w:cstheme="minorHAnsi"/>
                <w:color w:val="auto"/>
                <w:sz w:val="22"/>
                <w:szCs w:val="22"/>
              </w:rPr>
            </w:pPr>
            <w:r w:rsidRPr="00DF5524">
              <w:rPr>
                <w:rFonts w:asciiTheme="minorHAnsi" w:hAnsiTheme="minorHAnsi" w:cstheme="minorHAnsi"/>
                <w:color w:val="auto"/>
                <w:sz w:val="22"/>
                <w:szCs w:val="22"/>
              </w:rPr>
              <w:t xml:space="preserve">Inequitable access to medicines, vaccines and other health products negatively affects many human rights, including the right to life, the right to the highest attainable standard of health, the right to enjoy the benefits of scientific progress and its applications, as well as the right to development. Unequal access also exacerbates inequality and discrimination, particularly for individuals and people living in low- and middle-income countries and contributed to widening of inequalities within and between States. It leads to poorer health outcomes particularly for people in vulnerable and marginalized situations or remote areas, including women and girls, persons belonging to minorities, indigenous populations, older persons, persons with disabilities, persons living in poverty or migrants. </w:t>
            </w:r>
          </w:p>
          <w:p w14:paraId="26437A62" w14:textId="694BF2AB" w:rsidR="00DF5524" w:rsidRDefault="00DF5524" w:rsidP="001F08E1">
            <w:pPr>
              <w:pStyle w:val="Default"/>
              <w:spacing w:after="120" w:line="276" w:lineRule="auto"/>
              <w:jc w:val="both"/>
              <w:rPr>
                <w:rFonts w:asciiTheme="minorHAnsi" w:hAnsiTheme="minorHAnsi" w:cstheme="minorHAnsi"/>
                <w:color w:val="auto"/>
                <w:sz w:val="22"/>
                <w:szCs w:val="22"/>
              </w:rPr>
            </w:pPr>
            <w:r w:rsidRPr="00DF5524">
              <w:rPr>
                <w:rFonts w:asciiTheme="minorHAnsi" w:hAnsiTheme="minorHAnsi" w:cstheme="minorHAnsi"/>
                <w:color w:val="auto"/>
                <w:sz w:val="22"/>
                <w:szCs w:val="22"/>
              </w:rPr>
              <w:t>Ensuring equitable access to medicines and vaccines encounters multifaceted challenges, such as inadequate health care infrastructure with insufficient healthcare facilities, lack of trained health care professionals and deficient or inexistant distribution networks making it difficult to deliver medicines, vaccines and other health care products effectively. Pricing of medicines, vaccines and other health products may be another critical barrier. Patents and intellectual property rights can lead to higher prices for essential medicines, placing them out of reach for many people and can limit the availability of affordable generic medications in low- and middle-income countries, creating an impediment to access.</w:t>
            </w:r>
            <w:r w:rsidR="00D464B6">
              <w:rPr>
                <w:rFonts w:asciiTheme="minorHAnsi" w:hAnsiTheme="minorHAnsi" w:cstheme="minorHAnsi"/>
                <w:color w:val="auto"/>
                <w:sz w:val="22"/>
                <w:szCs w:val="22"/>
              </w:rPr>
              <w:t xml:space="preserve"> </w:t>
            </w:r>
          </w:p>
          <w:p w14:paraId="305C1820" w14:textId="75C1FA73" w:rsidR="00791E2E" w:rsidRPr="002B6097" w:rsidRDefault="00DF5524" w:rsidP="001F08E1">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Against this background, </w:t>
            </w:r>
            <w:r w:rsidR="00860935" w:rsidRPr="00860935">
              <w:rPr>
                <w:rFonts w:asciiTheme="minorHAnsi" w:hAnsiTheme="minorHAnsi" w:cstheme="minorHAnsi"/>
                <w:color w:val="auto"/>
                <w:sz w:val="22"/>
                <w:szCs w:val="22"/>
              </w:rPr>
              <w:t xml:space="preserve">the Human Rights Council adopted resolution 50/13, requesting OHCHR to convene </w:t>
            </w:r>
            <w:r w:rsidR="005E4319">
              <w:rPr>
                <w:rFonts w:asciiTheme="minorHAnsi" w:hAnsiTheme="minorHAnsi" w:cstheme="minorHAnsi"/>
                <w:color w:val="auto"/>
                <w:sz w:val="22"/>
                <w:szCs w:val="22"/>
              </w:rPr>
              <w:t xml:space="preserve">a series of </w:t>
            </w:r>
            <w:r w:rsidR="00860935" w:rsidRPr="00860935">
              <w:rPr>
                <w:rFonts w:asciiTheme="minorHAnsi" w:hAnsiTheme="minorHAnsi" w:cstheme="minorHAnsi"/>
                <w:color w:val="auto"/>
                <w:sz w:val="22"/>
                <w:szCs w:val="22"/>
              </w:rPr>
              <w:t>expert consultations</w:t>
            </w:r>
            <w:r>
              <w:rPr>
                <w:rFonts w:asciiTheme="minorHAnsi" w:hAnsiTheme="minorHAnsi" w:cstheme="minorHAnsi"/>
                <w:color w:val="auto"/>
                <w:sz w:val="22"/>
                <w:szCs w:val="22"/>
              </w:rPr>
              <w:t xml:space="preserve"> and prepare a series of studies to examine challenges, good practices and new developments</w:t>
            </w:r>
            <w:r w:rsidR="005E4319">
              <w:rPr>
                <w:rFonts w:asciiTheme="minorHAnsi" w:hAnsiTheme="minorHAnsi" w:cstheme="minorHAnsi"/>
                <w:color w:val="auto"/>
                <w:sz w:val="22"/>
                <w:szCs w:val="22"/>
              </w:rPr>
              <w:t xml:space="preserve">. </w:t>
            </w:r>
            <w:r w:rsidR="00707DA2">
              <w:rPr>
                <w:rFonts w:asciiTheme="minorHAnsi" w:hAnsiTheme="minorHAnsi" w:cstheme="minorHAnsi"/>
                <w:color w:val="auto"/>
                <w:sz w:val="22"/>
                <w:szCs w:val="22"/>
              </w:rPr>
              <w:t xml:space="preserve">Drawing on these events, the comprehensive report presented to </w:t>
            </w:r>
            <w:r w:rsidR="00707DA2" w:rsidRPr="003237DF">
              <w:rPr>
                <w:rFonts w:asciiTheme="minorHAnsi" w:hAnsiTheme="minorHAnsi" w:cstheme="minorHAnsi"/>
                <w:color w:val="auto"/>
                <w:sz w:val="22"/>
                <w:szCs w:val="22"/>
              </w:rPr>
              <w:t>59th session of the Human Rights Council (A/HRC/59/29), analyses the systemic barriers, emerging issues, and human rights-based solutions needed to ensure equitable and universal access</w:t>
            </w:r>
            <w:r w:rsidR="00707DA2">
              <w:rPr>
                <w:rFonts w:asciiTheme="minorHAnsi" w:hAnsiTheme="minorHAnsi" w:cstheme="minorHAnsi"/>
                <w:color w:val="auto"/>
                <w:sz w:val="22"/>
                <w:szCs w:val="22"/>
              </w:rPr>
              <w:t>.</w:t>
            </w:r>
          </w:p>
        </w:tc>
      </w:tr>
      <w:tr w:rsidR="00DF5524" w:rsidRPr="002B6097" w14:paraId="66AE3790" w14:textId="77777777" w:rsidTr="419D168B">
        <w:tc>
          <w:tcPr>
            <w:tcW w:w="1844" w:type="dxa"/>
          </w:tcPr>
          <w:p w14:paraId="4A4508AA" w14:textId="0D7E010D" w:rsidR="00DF5524" w:rsidRDefault="00DF5524" w:rsidP="002B6097">
            <w:pPr>
              <w:spacing w:after="0"/>
              <w:rPr>
                <w:rFonts w:cstheme="minorHAnsi"/>
                <w:b/>
              </w:rPr>
            </w:pPr>
            <w:r w:rsidRPr="00991FAD">
              <w:rPr>
                <w:rFonts w:cstheme="minorHAnsi"/>
                <w:b/>
                <w:color w:val="0070C0"/>
                <w:sz w:val="22"/>
                <w:szCs w:val="22"/>
              </w:rPr>
              <w:lastRenderedPageBreak/>
              <w:t>Objectives</w:t>
            </w:r>
          </w:p>
        </w:tc>
        <w:tc>
          <w:tcPr>
            <w:tcW w:w="8363" w:type="dxa"/>
          </w:tcPr>
          <w:p w14:paraId="59C0DD94" w14:textId="77777777" w:rsidR="00DF5524" w:rsidRPr="003237DF" w:rsidRDefault="00DF5524" w:rsidP="001F08E1">
            <w:pPr>
              <w:pStyle w:val="Default"/>
              <w:spacing w:after="120" w:line="276" w:lineRule="auto"/>
              <w:jc w:val="both"/>
              <w:rPr>
                <w:rFonts w:asciiTheme="minorHAnsi" w:hAnsiTheme="minorHAnsi" w:cstheme="minorHAnsi"/>
                <w:color w:val="auto"/>
                <w:sz w:val="22"/>
                <w:szCs w:val="22"/>
              </w:rPr>
            </w:pPr>
            <w:r w:rsidRPr="00860935">
              <w:rPr>
                <w:rFonts w:asciiTheme="minorHAnsi" w:hAnsiTheme="minorHAnsi" w:cstheme="minorHAnsi"/>
                <w:color w:val="auto"/>
                <w:sz w:val="22"/>
                <w:szCs w:val="22"/>
              </w:rPr>
              <w:t xml:space="preserve">This side event will serve as a key opportunity to </w:t>
            </w:r>
            <w:r>
              <w:rPr>
                <w:rFonts w:asciiTheme="minorHAnsi" w:hAnsiTheme="minorHAnsi" w:cstheme="minorHAnsi"/>
                <w:color w:val="auto"/>
                <w:sz w:val="22"/>
                <w:szCs w:val="22"/>
              </w:rPr>
              <w:t>discuss</w:t>
            </w:r>
            <w:r w:rsidRPr="00860935">
              <w:rPr>
                <w:rFonts w:asciiTheme="minorHAnsi" w:hAnsiTheme="minorHAnsi" w:cstheme="minorHAnsi"/>
                <w:color w:val="auto"/>
                <w:sz w:val="22"/>
                <w:szCs w:val="22"/>
              </w:rPr>
              <w:t xml:space="preserve"> the findings and recommendations of the report, engage Member States and stakeholders in discussion on concrete solutions, and chart a path forward for advancing access in line with international human rights obligations</w:t>
            </w:r>
            <w:r>
              <w:rPr>
                <w:rFonts w:asciiTheme="minorHAnsi" w:hAnsiTheme="minorHAnsi" w:cstheme="minorHAnsi"/>
                <w:color w:val="auto"/>
                <w:sz w:val="22"/>
                <w:szCs w:val="22"/>
              </w:rPr>
              <w:t>:</w:t>
            </w:r>
          </w:p>
          <w:p w14:paraId="57014E5B" w14:textId="77777777" w:rsidR="00DF5524" w:rsidRPr="000E3DD9" w:rsidRDefault="00DF5524" w:rsidP="001F08E1">
            <w:pPr>
              <w:pStyle w:val="Default"/>
              <w:numPr>
                <w:ilvl w:val="0"/>
                <w:numId w:val="2"/>
              </w:numPr>
              <w:spacing w:after="120"/>
              <w:jc w:val="both"/>
              <w:rPr>
                <w:rFonts w:asciiTheme="minorHAnsi" w:hAnsiTheme="minorHAnsi" w:cstheme="minorHAnsi"/>
                <w:color w:val="auto"/>
                <w:sz w:val="22"/>
                <w:szCs w:val="22"/>
              </w:rPr>
            </w:pPr>
            <w:r w:rsidRPr="000E3DD9">
              <w:rPr>
                <w:rFonts w:asciiTheme="minorHAnsi" w:hAnsiTheme="minorHAnsi" w:cstheme="minorHAnsi"/>
                <w:color w:val="auto"/>
                <w:sz w:val="22"/>
                <w:szCs w:val="22"/>
              </w:rPr>
              <w:t>Towards a better understanding of the key human rights challenges in ensuring access, including legal, policy, economic, and governance-related barriers.</w:t>
            </w:r>
          </w:p>
          <w:p w14:paraId="6827DFDC" w14:textId="77777777" w:rsidR="00DF5524" w:rsidRPr="000E3DD9" w:rsidRDefault="00DF5524" w:rsidP="001F08E1">
            <w:pPr>
              <w:pStyle w:val="Default"/>
              <w:numPr>
                <w:ilvl w:val="0"/>
                <w:numId w:val="2"/>
              </w:numPr>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Pr="000E3DD9">
              <w:rPr>
                <w:rFonts w:asciiTheme="minorHAnsi" w:hAnsiTheme="minorHAnsi" w:cstheme="minorHAnsi"/>
                <w:color w:val="auto"/>
                <w:sz w:val="22"/>
                <w:szCs w:val="22"/>
              </w:rPr>
              <w:t>o showcase promising practices, solutions, and innovations, including those emerging from the expert consultations conducted by OHCHR.</w:t>
            </w:r>
          </w:p>
          <w:p w14:paraId="556A3633" w14:textId="5CC3DCDA" w:rsidR="00DF5524" w:rsidRDefault="00DF5524" w:rsidP="001F08E1">
            <w:pPr>
              <w:pStyle w:val="Default"/>
              <w:spacing w:after="120"/>
              <w:jc w:val="both"/>
              <w:rPr>
                <w:rFonts w:asciiTheme="minorHAnsi" w:hAnsiTheme="minorHAnsi" w:cstheme="minorHAnsi"/>
                <w:color w:val="auto"/>
                <w:sz w:val="22"/>
                <w:szCs w:val="22"/>
              </w:rPr>
            </w:pPr>
            <w:r w:rsidRPr="000E3DD9">
              <w:rPr>
                <w:rFonts w:asciiTheme="minorHAnsi" w:hAnsiTheme="minorHAnsi" w:cstheme="minorHAnsi"/>
                <w:color w:val="auto"/>
                <w:sz w:val="22"/>
                <w:szCs w:val="22"/>
              </w:rPr>
              <w:t>To support dialogue among States, civil society, UN partners, and other stakeholders on human rights-based approaches to innovation, regulation, procurement, and distribution of health products.</w:t>
            </w:r>
          </w:p>
        </w:tc>
      </w:tr>
      <w:tr w:rsidR="00791E2E" w:rsidRPr="002B6097" w14:paraId="2A193518" w14:textId="77777777" w:rsidTr="419D168B">
        <w:tc>
          <w:tcPr>
            <w:tcW w:w="1844" w:type="dxa"/>
          </w:tcPr>
          <w:p w14:paraId="5EAB5C4A" w14:textId="3514DAF2" w:rsidR="00791E2E" w:rsidRPr="002B6097" w:rsidRDefault="008448F5" w:rsidP="002B6097">
            <w:pPr>
              <w:spacing w:after="0"/>
              <w:rPr>
                <w:rFonts w:cstheme="minorHAnsi"/>
                <w:b/>
                <w:sz w:val="22"/>
                <w:szCs w:val="22"/>
              </w:rPr>
            </w:pPr>
            <w:r w:rsidRPr="00991FAD">
              <w:rPr>
                <w:rFonts w:cstheme="minorHAnsi"/>
                <w:b/>
                <w:color w:val="0070C0"/>
                <w:sz w:val="22"/>
                <w:szCs w:val="22"/>
              </w:rPr>
              <w:t>Format</w:t>
            </w:r>
          </w:p>
        </w:tc>
        <w:tc>
          <w:tcPr>
            <w:tcW w:w="8363" w:type="dxa"/>
          </w:tcPr>
          <w:p w14:paraId="19C56E94" w14:textId="49BCDA46" w:rsidR="00D078ED" w:rsidRDefault="00D078ED" w:rsidP="00C97E39">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00D72E88">
              <w:rPr>
                <w:rFonts w:asciiTheme="minorHAnsi" w:hAnsiTheme="minorHAnsi" w:cstheme="minorHAnsi"/>
                <w:color w:val="auto"/>
                <w:sz w:val="22"/>
                <w:szCs w:val="22"/>
              </w:rPr>
              <w:t>6</w:t>
            </w:r>
            <w:r w:rsidRPr="00D078ED">
              <w:rPr>
                <w:rFonts w:asciiTheme="minorHAnsi" w:hAnsiTheme="minorHAnsi" w:cstheme="minorHAnsi"/>
                <w:color w:val="auto"/>
                <w:sz w:val="22"/>
                <w:szCs w:val="22"/>
              </w:rPr>
              <w:t>0-minute panel discussion, followed by an interactive Q&amp;A session</w:t>
            </w:r>
          </w:p>
          <w:p w14:paraId="0E0C739F" w14:textId="4B6ECA3A" w:rsidR="00C651F0" w:rsidRPr="0076647C" w:rsidRDefault="00C97E39" w:rsidP="0076647C">
            <w:pPr>
              <w:pStyle w:val="Default"/>
              <w:spacing w:after="120"/>
              <w:rPr>
                <w:rFonts w:asciiTheme="minorHAnsi" w:hAnsiTheme="minorHAnsi" w:cstheme="minorHAnsi"/>
                <w:b/>
                <w:bCs/>
                <w:color w:val="auto"/>
                <w:sz w:val="22"/>
                <w:szCs w:val="22"/>
              </w:rPr>
            </w:pPr>
            <w:r w:rsidRPr="0076647C">
              <w:rPr>
                <w:rFonts w:asciiTheme="minorHAnsi" w:hAnsiTheme="minorHAnsi" w:cstheme="minorHAnsi"/>
                <w:b/>
                <w:bCs/>
                <w:color w:val="auto"/>
                <w:sz w:val="22"/>
                <w:szCs w:val="22"/>
              </w:rPr>
              <w:t xml:space="preserve">Opening remarks by </w:t>
            </w:r>
            <w:r w:rsidR="00204CCD" w:rsidRPr="0076647C">
              <w:rPr>
                <w:rFonts w:asciiTheme="minorHAnsi" w:hAnsiTheme="minorHAnsi" w:cstheme="minorHAnsi"/>
                <w:b/>
                <w:bCs/>
                <w:color w:val="auto"/>
                <w:sz w:val="22"/>
                <w:szCs w:val="22"/>
              </w:rPr>
              <w:t xml:space="preserve">the Permanent </w:t>
            </w:r>
            <w:r w:rsidR="000E05FF">
              <w:rPr>
                <w:rFonts w:asciiTheme="minorHAnsi" w:hAnsiTheme="minorHAnsi" w:cstheme="minorHAnsi"/>
                <w:b/>
                <w:bCs/>
                <w:color w:val="auto"/>
                <w:sz w:val="22"/>
                <w:szCs w:val="22"/>
              </w:rPr>
              <w:t>Mission</w:t>
            </w:r>
            <w:r w:rsidR="00204CCD" w:rsidRPr="0076647C">
              <w:rPr>
                <w:rFonts w:asciiTheme="minorHAnsi" w:hAnsiTheme="minorHAnsi" w:cstheme="minorHAnsi"/>
                <w:b/>
                <w:bCs/>
                <w:color w:val="auto"/>
                <w:sz w:val="22"/>
                <w:szCs w:val="22"/>
              </w:rPr>
              <w:t xml:space="preserve"> of Brazil</w:t>
            </w:r>
          </w:p>
          <w:p w14:paraId="496AD18F" w14:textId="0BF067F2" w:rsidR="00C651F0" w:rsidRDefault="00D8374E" w:rsidP="00C651F0">
            <w:pPr>
              <w:pStyle w:val="Default"/>
              <w:numPr>
                <w:ilvl w:val="0"/>
                <w:numId w:val="4"/>
              </w:numPr>
              <w:spacing w:after="120"/>
              <w:rPr>
                <w:rFonts w:asciiTheme="minorHAnsi" w:hAnsiTheme="minorHAnsi" w:cstheme="minorHAnsi"/>
                <w:color w:val="auto"/>
                <w:sz w:val="22"/>
                <w:szCs w:val="22"/>
              </w:rPr>
            </w:pPr>
            <w:r>
              <w:rPr>
                <w:rFonts w:asciiTheme="minorHAnsi" w:hAnsiTheme="minorHAnsi" w:cstheme="minorHAnsi"/>
                <w:color w:val="auto"/>
                <w:sz w:val="22"/>
                <w:szCs w:val="22"/>
              </w:rPr>
              <w:t>Speakers</w:t>
            </w:r>
          </w:p>
          <w:p w14:paraId="1DB85207" w14:textId="566009ED" w:rsidR="00354A4D" w:rsidRDefault="00354A4D" w:rsidP="00D8374E">
            <w:pPr>
              <w:pStyle w:val="Default"/>
              <w:numPr>
                <w:ilvl w:val="1"/>
                <w:numId w:val="4"/>
              </w:numPr>
              <w:spacing w:after="120"/>
              <w:rPr>
                <w:rFonts w:asciiTheme="minorHAnsi" w:hAnsiTheme="minorHAnsi" w:cstheme="minorHAnsi"/>
                <w:b/>
                <w:bCs/>
                <w:color w:val="auto"/>
                <w:sz w:val="22"/>
                <w:szCs w:val="22"/>
              </w:rPr>
            </w:pPr>
            <w:r>
              <w:rPr>
                <w:rFonts w:asciiTheme="minorHAnsi" w:hAnsiTheme="minorHAnsi" w:cstheme="minorHAnsi"/>
                <w:b/>
                <w:bCs/>
                <w:color w:val="auto"/>
                <w:sz w:val="22"/>
                <w:szCs w:val="22"/>
              </w:rPr>
              <w:t>Office of the High Commissioner for Human Rights (OHCHR)</w:t>
            </w:r>
          </w:p>
          <w:p w14:paraId="4FF7491E" w14:textId="77777777" w:rsidR="00354A4D" w:rsidRDefault="00354A4D" w:rsidP="00354A4D">
            <w:pPr>
              <w:pStyle w:val="Default"/>
              <w:numPr>
                <w:ilvl w:val="1"/>
                <w:numId w:val="4"/>
              </w:numPr>
              <w:spacing w:after="120"/>
              <w:rPr>
                <w:rFonts w:asciiTheme="minorHAnsi" w:hAnsiTheme="minorHAnsi" w:cstheme="minorHAnsi"/>
                <w:b/>
                <w:bCs/>
                <w:color w:val="auto"/>
                <w:sz w:val="22"/>
                <w:szCs w:val="22"/>
              </w:rPr>
            </w:pPr>
            <w:r w:rsidRPr="00EA3F1F">
              <w:rPr>
                <w:rFonts w:asciiTheme="minorHAnsi" w:hAnsiTheme="minorHAnsi" w:cstheme="minorHAnsi"/>
                <w:b/>
                <w:bCs/>
                <w:color w:val="auto"/>
                <w:sz w:val="22"/>
                <w:szCs w:val="22"/>
              </w:rPr>
              <w:t>World Health Organization (WHO)</w:t>
            </w:r>
          </w:p>
          <w:p w14:paraId="59303777" w14:textId="77777777" w:rsidR="00354A4D" w:rsidRPr="00354A4D" w:rsidRDefault="00354A4D" w:rsidP="00354A4D">
            <w:pPr>
              <w:pStyle w:val="Default"/>
              <w:numPr>
                <w:ilvl w:val="1"/>
                <w:numId w:val="4"/>
              </w:numPr>
              <w:spacing w:after="120"/>
              <w:rPr>
                <w:rFonts w:asciiTheme="minorHAnsi" w:hAnsiTheme="minorHAnsi" w:cstheme="minorHAnsi"/>
                <w:b/>
                <w:bCs/>
                <w:color w:val="auto"/>
                <w:sz w:val="22"/>
                <w:szCs w:val="22"/>
              </w:rPr>
            </w:pPr>
            <w:r w:rsidRPr="00354A4D">
              <w:rPr>
                <w:rFonts w:asciiTheme="minorHAnsi" w:hAnsiTheme="minorHAnsi" w:cstheme="minorHAnsi"/>
                <w:b/>
                <w:bCs/>
                <w:color w:val="auto"/>
                <w:sz w:val="22"/>
                <w:szCs w:val="22"/>
              </w:rPr>
              <w:t>Member State representative</w:t>
            </w:r>
          </w:p>
          <w:p w14:paraId="3F3A9C58" w14:textId="784F8543" w:rsidR="00D8374E" w:rsidRPr="00AD0259" w:rsidRDefault="00A30DEF" w:rsidP="00D8374E">
            <w:pPr>
              <w:pStyle w:val="Default"/>
              <w:numPr>
                <w:ilvl w:val="1"/>
                <w:numId w:val="4"/>
              </w:numPr>
              <w:spacing w:after="120"/>
              <w:rPr>
                <w:rFonts w:asciiTheme="minorHAnsi" w:hAnsiTheme="minorHAnsi" w:cstheme="minorHAnsi"/>
                <w:b/>
                <w:bCs/>
                <w:color w:val="auto"/>
                <w:sz w:val="22"/>
                <w:szCs w:val="22"/>
              </w:rPr>
            </w:pPr>
            <w:r w:rsidRPr="00AD0259">
              <w:rPr>
                <w:rFonts w:asciiTheme="minorHAnsi" w:hAnsiTheme="minorHAnsi" w:cstheme="minorHAnsi"/>
                <w:b/>
                <w:bCs/>
                <w:color w:val="auto"/>
                <w:sz w:val="22"/>
                <w:szCs w:val="22"/>
              </w:rPr>
              <w:t xml:space="preserve">International Association for Hospice and </w:t>
            </w:r>
            <w:r w:rsidR="00AD0259" w:rsidRPr="00AD0259">
              <w:rPr>
                <w:rFonts w:asciiTheme="minorHAnsi" w:hAnsiTheme="minorHAnsi" w:cstheme="minorHAnsi"/>
                <w:b/>
                <w:bCs/>
                <w:color w:val="auto"/>
                <w:sz w:val="22"/>
                <w:szCs w:val="22"/>
              </w:rPr>
              <w:t>Palliative Care (IAHPC)</w:t>
            </w:r>
          </w:p>
          <w:p w14:paraId="7C2B744A" w14:textId="38DA16C3" w:rsidR="00606C92" w:rsidRPr="002B6097" w:rsidRDefault="008448F5" w:rsidP="00333BFB">
            <w:pPr>
              <w:pStyle w:val="Default"/>
              <w:spacing w:after="120" w:line="276" w:lineRule="auto"/>
              <w:jc w:val="both"/>
              <w:rPr>
                <w:rFonts w:asciiTheme="minorHAnsi" w:hAnsiTheme="minorHAnsi" w:cstheme="minorHAnsi"/>
                <w:color w:val="auto"/>
                <w:sz w:val="22"/>
                <w:szCs w:val="22"/>
              </w:rPr>
            </w:pPr>
            <w:r w:rsidRPr="008448F5">
              <w:rPr>
                <w:rFonts w:asciiTheme="minorHAnsi" w:hAnsiTheme="minorHAnsi" w:cstheme="minorHAnsi"/>
                <w:color w:val="auto"/>
                <w:sz w:val="22"/>
                <w:szCs w:val="22"/>
              </w:rPr>
              <w:t xml:space="preserve">The Side Event is open to the participation of Member States and other relevant stakeholders, including United Nations entities, representatives of subregional and regional organisations, international human rights mechanisms, national human rights institutions, civil society organisations, </w:t>
            </w:r>
            <w:r>
              <w:rPr>
                <w:rFonts w:asciiTheme="minorHAnsi" w:hAnsiTheme="minorHAnsi" w:cstheme="minorHAnsi"/>
                <w:color w:val="auto"/>
                <w:sz w:val="22"/>
                <w:szCs w:val="22"/>
              </w:rPr>
              <w:t>health experts</w:t>
            </w:r>
            <w:r w:rsidRPr="008448F5">
              <w:rPr>
                <w:rFonts w:asciiTheme="minorHAnsi" w:hAnsiTheme="minorHAnsi" w:cstheme="minorHAnsi"/>
                <w:color w:val="auto"/>
                <w:sz w:val="22"/>
                <w:szCs w:val="22"/>
              </w:rPr>
              <w:t>, and relevant stakeholders from across the world. Participants are encouraged to intervene in an interactive way, through questions, comments and sharing of experiences, promising practices and challenges as well as suggested recommendations on the way forward, with a view to stimulating a constructive debate. The Side Event is being held in English only.</w:t>
            </w:r>
          </w:p>
        </w:tc>
      </w:tr>
      <w:tr w:rsidR="00791E2E" w:rsidRPr="002B6097" w14:paraId="7CB8A449" w14:textId="77777777" w:rsidTr="419D168B">
        <w:tc>
          <w:tcPr>
            <w:tcW w:w="1844" w:type="dxa"/>
          </w:tcPr>
          <w:p w14:paraId="777F4083" w14:textId="77777777" w:rsidR="00791E2E" w:rsidRPr="002B6097" w:rsidRDefault="00791E2E" w:rsidP="002B6097">
            <w:pPr>
              <w:spacing w:after="0"/>
              <w:rPr>
                <w:rFonts w:cstheme="minorHAnsi"/>
                <w:b/>
                <w:sz w:val="22"/>
                <w:szCs w:val="22"/>
              </w:rPr>
            </w:pPr>
            <w:r w:rsidRPr="00991FAD">
              <w:rPr>
                <w:rFonts w:cstheme="minorHAnsi"/>
                <w:b/>
                <w:color w:val="0070C0"/>
                <w:sz w:val="22"/>
                <w:szCs w:val="22"/>
              </w:rPr>
              <w:t>Background documents</w:t>
            </w:r>
          </w:p>
        </w:tc>
        <w:tc>
          <w:tcPr>
            <w:tcW w:w="8363" w:type="dxa"/>
          </w:tcPr>
          <w:p w14:paraId="29061EE9" w14:textId="1FB6BBFC" w:rsidR="00996F61" w:rsidRDefault="00996F61" w:rsidP="008F2FCB">
            <w:pPr>
              <w:numPr>
                <w:ilvl w:val="0"/>
                <w:numId w:val="1"/>
              </w:numPr>
              <w:spacing w:after="60"/>
              <w:jc w:val="both"/>
              <w:rPr>
                <w:rFonts w:cstheme="minorHAnsi"/>
                <w:bCs/>
                <w:sz w:val="22"/>
                <w:szCs w:val="22"/>
                <w:lang w:val="en-US"/>
              </w:rPr>
            </w:pPr>
            <w:r w:rsidRPr="00996F61">
              <w:rPr>
                <w:rFonts w:cstheme="minorHAnsi"/>
                <w:bCs/>
                <w:sz w:val="22"/>
                <w:szCs w:val="22"/>
                <w:lang w:val="en-US"/>
              </w:rPr>
              <w:t>Comprehensive report of the Office of the United Nations High Commissioner for Human Rights on access to medicines, vaccines and other health products in the context of the right to the highest attainable standard of physical and mental health</w:t>
            </w:r>
            <w:r>
              <w:rPr>
                <w:rFonts w:cstheme="minorHAnsi"/>
                <w:bCs/>
                <w:sz w:val="22"/>
                <w:szCs w:val="22"/>
                <w:lang w:val="en-US"/>
              </w:rPr>
              <w:t xml:space="preserve"> (</w:t>
            </w:r>
            <w:hyperlink r:id="rId15" w:history="1">
              <w:r w:rsidR="00DD7629" w:rsidRPr="00DD7629">
                <w:rPr>
                  <w:rStyle w:val="Hyperlink"/>
                  <w:rFonts w:cstheme="minorHAnsi"/>
                  <w:bCs/>
                  <w:sz w:val="22"/>
                  <w:szCs w:val="22"/>
                  <w:lang w:val="en-US" w:eastAsia="en-US"/>
                </w:rPr>
                <w:t>A/HRC/59/29</w:t>
              </w:r>
            </w:hyperlink>
            <w:r w:rsidR="00DD7629">
              <w:rPr>
                <w:rFonts w:cstheme="minorHAnsi"/>
                <w:bCs/>
                <w:sz w:val="22"/>
                <w:szCs w:val="22"/>
                <w:lang w:val="en-US"/>
              </w:rPr>
              <w:t>)</w:t>
            </w:r>
          </w:p>
          <w:p w14:paraId="67DAE2EA" w14:textId="3A494C6F" w:rsidR="00791E2E" w:rsidRPr="008F2FCB" w:rsidRDefault="00791E2E" w:rsidP="008F2FCB">
            <w:pPr>
              <w:numPr>
                <w:ilvl w:val="0"/>
                <w:numId w:val="1"/>
              </w:numPr>
              <w:spacing w:after="60"/>
              <w:jc w:val="both"/>
              <w:rPr>
                <w:rFonts w:cstheme="minorHAnsi"/>
                <w:bCs/>
                <w:sz w:val="22"/>
                <w:szCs w:val="22"/>
                <w:lang w:val="en-US"/>
              </w:rPr>
            </w:pPr>
            <w:hyperlink r:id="rId16" w:history="1">
              <w:r w:rsidRPr="008F2FCB">
                <w:rPr>
                  <w:rStyle w:val="Hyperlink"/>
                  <w:rFonts w:cstheme="minorHAnsi"/>
                  <w:bCs/>
                  <w:sz w:val="22"/>
                  <w:szCs w:val="22"/>
                  <w:lang w:val="en-US"/>
                </w:rPr>
                <w:t>Human Rights Council resolution 50/13</w:t>
              </w:r>
            </w:hyperlink>
            <w:r w:rsidRPr="008F2FCB">
              <w:rPr>
                <w:rFonts w:cstheme="minorHAnsi"/>
                <w:bCs/>
                <w:sz w:val="22"/>
                <w:szCs w:val="22"/>
                <w:lang w:val="en-US"/>
              </w:rPr>
              <w:t xml:space="preserve"> of 7 July 2022 entitled “Access to medicines, vaccines and other health products in the context of the right of everyone to the enjoyment of the highest attainable standard of physical and mental health”</w:t>
            </w:r>
          </w:p>
          <w:p w14:paraId="534018A1" w14:textId="77777777" w:rsidR="00791E2E" w:rsidRPr="008F2FCB" w:rsidRDefault="00791E2E" w:rsidP="008F2FCB">
            <w:pPr>
              <w:numPr>
                <w:ilvl w:val="0"/>
                <w:numId w:val="1"/>
              </w:numPr>
              <w:spacing w:after="60"/>
              <w:jc w:val="both"/>
              <w:rPr>
                <w:rStyle w:val="markedcontent"/>
                <w:rFonts w:cstheme="minorHAnsi"/>
                <w:sz w:val="22"/>
                <w:szCs w:val="22"/>
              </w:rPr>
            </w:pPr>
            <w:r w:rsidRPr="008F2FCB">
              <w:rPr>
                <w:rStyle w:val="markedcontent"/>
                <w:rFonts w:cstheme="minorHAnsi"/>
                <w:sz w:val="22"/>
                <w:szCs w:val="22"/>
              </w:rPr>
              <w:t>Report of the High Commissioner on the human rights implications of the lack of affordable, timely, equitable and universal access and distribution of coronavirus disease (COVID-19) vaccines and the deepening inequalities between States (</w:t>
            </w:r>
            <w:hyperlink r:id="rId17" w:history="1">
              <w:r w:rsidRPr="008F2FCB">
                <w:rPr>
                  <w:rStyle w:val="Hyperlink"/>
                  <w:rFonts w:cstheme="minorHAnsi"/>
                  <w:sz w:val="22"/>
                  <w:szCs w:val="22"/>
                </w:rPr>
                <w:t>A/HRC/49/35</w:t>
              </w:r>
            </w:hyperlink>
            <w:r w:rsidRPr="008F2FCB">
              <w:rPr>
                <w:rStyle w:val="markedcontent"/>
                <w:rFonts w:cstheme="minorHAnsi"/>
                <w:sz w:val="22"/>
                <w:szCs w:val="22"/>
              </w:rPr>
              <w:t>)</w:t>
            </w:r>
          </w:p>
          <w:p w14:paraId="2F26FA37" w14:textId="77777777" w:rsidR="00791E2E" w:rsidRPr="008F2FCB" w:rsidRDefault="29D8C2B3" w:rsidP="008F2FCB">
            <w:pPr>
              <w:numPr>
                <w:ilvl w:val="0"/>
                <w:numId w:val="1"/>
              </w:numPr>
              <w:spacing w:after="60"/>
              <w:jc w:val="both"/>
              <w:rPr>
                <w:rFonts w:cstheme="minorHAnsi"/>
                <w:bCs/>
                <w:sz w:val="22"/>
                <w:szCs w:val="22"/>
                <w:lang w:val="en-US"/>
              </w:rPr>
            </w:pPr>
            <w:r w:rsidRPr="008F2FCB">
              <w:rPr>
                <w:sz w:val="22"/>
                <w:szCs w:val="22"/>
                <w:lang w:val="en-US"/>
              </w:rPr>
              <w:t>Report of the Special Rapporteur on the right of everyone to the enjoyment of the highest attainable standard of physical and mental health, Anand Grover, on access to medicines (</w:t>
            </w:r>
            <w:hyperlink r:id="rId18">
              <w:r w:rsidRPr="008F2FCB">
                <w:rPr>
                  <w:rStyle w:val="Hyperlink"/>
                  <w:sz w:val="22"/>
                  <w:szCs w:val="22"/>
                </w:rPr>
                <w:t>A/HRC/23/42</w:t>
              </w:r>
            </w:hyperlink>
            <w:r w:rsidRPr="008F2FCB">
              <w:rPr>
                <w:sz w:val="22"/>
                <w:szCs w:val="22"/>
                <w:lang w:val="en-US"/>
              </w:rPr>
              <w:t>)</w:t>
            </w:r>
          </w:p>
          <w:p w14:paraId="5B3C7AB9" w14:textId="77777777" w:rsidR="00465082" w:rsidRPr="008F2FCB" w:rsidRDefault="00465082" w:rsidP="008F2FCB">
            <w:pPr>
              <w:numPr>
                <w:ilvl w:val="0"/>
                <w:numId w:val="1"/>
              </w:numPr>
              <w:spacing w:after="60"/>
              <w:jc w:val="both"/>
              <w:rPr>
                <w:rFonts w:cstheme="minorHAnsi"/>
                <w:bCs/>
                <w:sz w:val="22"/>
                <w:szCs w:val="22"/>
                <w:lang w:val="en-US"/>
              </w:rPr>
            </w:pPr>
            <w:r w:rsidRPr="008F2FCB">
              <w:rPr>
                <w:rFonts w:cstheme="minorHAnsi"/>
                <w:bCs/>
                <w:sz w:val="22"/>
                <w:szCs w:val="22"/>
                <w:lang w:val="en-US"/>
              </w:rPr>
              <w:t>United Nations Secretary-General’s High-level Panel on Access to Medicines (</w:t>
            </w:r>
            <w:hyperlink r:id="rId19" w:history="1">
              <w:r w:rsidRPr="008F2FCB">
                <w:rPr>
                  <w:rStyle w:val="Hyperlink"/>
                  <w:rFonts w:cstheme="minorHAnsi"/>
                  <w:bCs/>
                  <w:sz w:val="22"/>
                  <w:szCs w:val="22"/>
                  <w:lang w:val="en-US"/>
                </w:rPr>
                <w:t>web page</w:t>
              </w:r>
            </w:hyperlink>
            <w:r w:rsidRPr="008F2FCB">
              <w:rPr>
                <w:rFonts w:cstheme="minorHAnsi"/>
                <w:bCs/>
                <w:sz w:val="22"/>
                <w:szCs w:val="22"/>
                <w:lang w:val="en-US"/>
              </w:rPr>
              <w:t xml:space="preserve">) and </w:t>
            </w:r>
            <w:hyperlink r:id="rId20" w:history="1">
              <w:r w:rsidRPr="008F2FCB">
                <w:rPr>
                  <w:rStyle w:val="Hyperlink"/>
                  <w:rFonts w:cstheme="minorHAnsi"/>
                  <w:bCs/>
                  <w:sz w:val="22"/>
                  <w:szCs w:val="22"/>
                  <w:lang w:val="en-US"/>
                </w:rPr>
                <w:t>the Panel’s report on promoting innovation and access to health technologies</w:t>
              </w:r>
            </w:hyperlink>
            <w:r w:rsidRPr="008F2FCB">
              <w:rPr>
                <w:rFonts w:cstheme="minorHAnsi"/>
                <w:bCs/>
                <w:sz w:val="22"/>
                <w:szCs w:val="22"/>
                <w:lang w:val="en-US"/>
              </w:rPr>
              <w:t xml:space="preserve"> (September 2016)</w:t>
            </w:r>
          </w:p>
          <w:p w14:paraId="63A2EF06" w14:textId="77777777" w:rsidR="00791E2E" w:rsidRPr="008F2FCB" w:rsidRDefault="00791E2E" w:rsidP="00D464B6">
            <w:pPr>
              <w:spacing w:after="60"/>
              <w:jc w:val="both"/>
              <w:rPr>
                <w:rFonts w:cstheme="minorHAnsi"/>
                <w:bCs/>
                <w:sz w:val="22"/>
                <w:szCs w:val="22"/>
                <w:lang w:val="en-US"/>
              </w:rPr>
            </w:pPr>
          </w:p>
        </w:tc>
      </w:tr>
    </w:tbl>
    <w:p w14:paraId="60898D95" w14:textId="5D6E1D1F" w:rsidR="00DC1086" w:rsidRDefault="001F08E1" w:rsidP="001F08E1">
      <w:pPr>
        <w:jc w:val="center"/>
      </w:pPr>
      <w:r>
        <w:lastRenderedPageBreak/>
        <w:t>***</w:t>
      </w:r>
    </w:p>
    <w:sectPr w:rsidR="00DC1086" w:rsidSect="00C328D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ED38" w14:textId="77777777" w:rsidR="00186856" w:rsidRDefault="00186856" w:rsidP="00BF22FE">
      <w:pPr>
        <w:spacing w:after="0" w:line="240" w:lineRule="auto"/>
      </w:pPr>
      <w:r>
        <w:separator/>
      </w:r>
    </w:p>
  </w:endnote>
  <w:endnote w:type="continuationSeparator" w:id="0">
    <w:p w14:paraId="2D74DB3D" w14:textId="77777777" w:rsidR="00186856" w:rsidRDefault="00186856" w:rsidP="00BF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7282" w14:textId="77777777" w:rsidR="00186856" w:rsidRDefault="00186856" w:rsidP="00BF22FE">
      <w:pPr>
        <w:spacing w:after="0" w:line="240" w:lineRule="auto"/>
      </w:pPr>
      <w:r>
        <w:separator/>
      </w:r>
    </w:p>
  </w:footnote>
  <w:footnote w:type="continuationSeparator" w:id="0">
    <w:p w14:paraId="3F9164B6" w14:textId="77777777" w:rsidR="00186856" w:rsidRDefault="00186856" w:rsidP="00BF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70FFC"/>
    <w:multiLevelType w:val="hybridMultilevel"/>
    <w:tmpl w:val="B04A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50448"/>
    <w:multiLevelType w:val="hybridMultilevel"/>
    <w:tmpl w:val="6588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1D290C"/>
    <w:multiLevelType w:val="hybridMultilevel"/>
    <w:tmpl w:val="C90ED1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84258410">
    <w:abstractNumId w:val="2"/>
  </w:num>
  <w:num w:numId="2" w16cid:durableId="1658463235">
    <w:abstractNumId w:val="0"/>
  </w:num>
  <w:num w:numId="3" w16cid:durableId="1132404782">
    <w:abstractNumId w:val="1"/>
  </w:num>
  <w:num w:numId="4" w16cid:durableId="1288781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2E"/>
    <w:rsid w:val="000152A1"/>
    <w:rsid w:val="00017602"/>
    <w:rsid w:val="00035322"/>
    <w:rsid w:val="000527D4"/>
    <w:rsid w:val="00062BCF"/>
    <w:rsid w:val="000953DE"/>
    <w:rsid w:val="00096676"/>
    <w:rsid w:val="000A326B"/>
    <w:rsid w:val="000C2B92"/>
    <w:rsid w:val="000C63CF"/>
    <w:rsid w:val="000E05FF"/>
    <w:rsid w:val="000E3627"/>
    <w:rsid w:val="000E3DD9"/>
    <w:rsid w:val="000F22E1"/>
    <w:rsid w:val="000F3992"/>
    <w:rsid w:val="00107C7D"/>
    <w:rsid w:val="001142B3"/>
    <w:rsid w:val="00114617"/>
    <w:rsid w:val="0014467E"/>
    <w:rsid w:val="00154213"/>
    <w:rsid w:val="0016774B"/>
    <w:rsid w:val="001709B1"/>
    <w:rsid w:val="00172E79"/>
    <w:rsid w:val="00176B51"/>
    <w:rsid w:val="00186856"/>
    <w:rsid w:val="001A1AF9"/>
    <w:rsid w:val="001E2174"/>
    <w:rsid w:val="001F08E1"/>
    <w:rsid w:val="001F4728"/>
    <w:rsid w:val="00200526"/>
    <w:rsid w:val="00204CCD"/>
    <w:rsid w:val="002353C1"/>
    <w:rsid w:val="002421A9"/>
    <w:rsid w:val="002570FA"/>
    <w:rsid w:val="002621F8"/>
    <w:rsid w:val="00267323"/>
    <w:rsid w:val="00280DEB"/>
    <w:rsid w:val="00281272"/>
    <w:rsid w:val="00285A59"/>
    <w:rsid w:val="002977C1"/>
    <w:rsid w:val="002B6097"/>
    <w:rsid w:val="002E006C"/>
    <w:rsid w:val="002F0F30"/>
    <w:rsid w:val="003237DF"/>
    <w:rsid w:val="0032755F"/>
    <w:rsid w:val="00333BFB"/>
    <w:rsid w:val="00350986"/>
    <w:rsid w:val="00354A4D"/>
    <w:rsid w:val="003555D7"/>
    <w:rsid w:val="00372C43"/>
    <w:rsid w:val="00374D5F"/>
    <w:rsid w:val="003E29E0"/>
    <w:rsid w:val="003E5BAD"/>
    <w:rsid w:val="003E5E2F"/>
    <w:rsid w:val="003E6AF1"/>
    <w:rsid w:val="003F45AF"/>
    <w:rsid w:val="00406DE9"/>
    <w:rsid w:val="004102B7"/>
    <w:rsid w:val="0042070F"/>
    <w:rsid w:val="004270AD"/>
    <w:rsid w:val="00437245"/>
    <w:rsid w:val="00456332"/>
    <w:rsid w:val="00464E63"/>
    <w:rsid w:val="00465082"/>
    <w:rsid w:val="00472764"/>
    <w:rsid w:val="0047700C"/>
    <w:rsid w:val="004772AC"/>
    <w:rsid w:val="004802FF"/>
    <w:rsid w:val="004A2D74"/>
    <w:rsid w:val="004A7455"/>
    <w:rsid w:val="004B2F06"/>
    <w:rsid w:val="004D0DF4"/>
    <w:rsid w:val="004D234E"/>
    <w:rsid w:val="004E1B70"/>
    <w:rsid w:val="004E53FB"/>
    <w:rsid w:val="005009FE"/>
    <w:rsid w:val="00511B70"/>
    <w:rsid w:val="00543AF8"/>
    <w:rsid w:val="005523DF"/>
    <w:rsid w:val="00556563"/>
    <w:rsid w:val="00560400"/>
    <w:rsid w:val="00564BFF"/>
    <w:rsid w:val="0056645A"/>
    <w:rsid w:val="0056664A"/>
    <w:rsid w:val="0058500D"/>
    <w:rsid w:val="00585ADB"/>
    <w:rsid w:val="00587FF5"/>
    <w:rsid w:val="005B701D"/>
    <w:rsid w:val="005C36A6"/>
    <w:rsid w:val="005D04A5"/>
    <w:rsid w:val="005D63F3"/>
    <w:rsid w:val="005E4319"/>
    <w:rsid w:val="005F127D"/>
    <w:rsid w:val="005F2693"/>
    <w:rsid w:val="00606C92"/>
    <w:rsid w:val="00607351"/>
    <w:rsid w:val="00610225"/>
    <w:rsid w:val="006241FA"/>
    <w:rsid w:val="0062539B"/>
    <w:rsid w:val="00627F2E"/>
    <w:rsid w:val="00652020"/>
    <w:rsid w:val="00654789"/>
    <w:rsid w:val="00655245"/>
    <w:rsid w:val="00676CD4"/>
    <w:rsid w:val="006A140C"/>
    <w:rsid w:val="006B7FF9"/>
    <w:rsid w:val="006C26E7"/>
    <w:rsid w:val="006C4B52"/>
    <w:rsid w:val="006E1A58"/>
    <w:rsid w:val="006F201A"/>
    <w:rsid w:val="006F3773"/>
    <w:rsid w:val="00701670"/>
    <w:rsid w:val="00705616"/>
    <w:rsid w:val="00707DA2"/>
    <w:rsid w:val="00710041"/>
    <w:rsid w:val="00717695"/>
    <w:rsid w:val="00720257"/>
    <w:rsid w:val="00722412"/>
    <w:rsid w:val="00725D0F"/>
    <w:rsid w:val="00737196"/>
    <w:rsid w:val="00747EF0"/>
    <w:rsid w:val="0075705D"/>
    <w:rsid w:val="00762A42"/>
    <w:rsid w:val="0076528A"/>
    <w:rsid w:val="0076647C"/>
    <w:rsid w:val="007816D0"/>
    <w:rsid w:val="00781DC3"/>
    <w:rsid w:val="00784A47"/>
    <w:rsid w:val="00791E2E"/>
    <w:rsid w:val="00792251"/>
    <w:rsid w:val="007A4091"/>
    <w:rsid w:val="007A427A"/>
    <w:rsid w:val="007C4599"/>
    <w:rsid w:val="007C5A70"/>
    <w:rsid w:val="007D3D6E"/>
    <w:rsid w:val="007F1ADD"/>
    <w:rsid w:val="007F4D4D"/>
    <w:rsid w:val="007F61D7"/>
    <w:rsid w:val="00802265"/>
    <w:rsid w:val="0081672B"/>
    <w:rsid w:val="008227C9"/>
    <w:rsid w:val="00841F8A"/>
    <w:rsid w:val="008448F5"/>
    <w:rsid w:val="00850D2D"/>
    <w:rsid w:val="0085178F"/>
    <w:rsid w:val="008518CA"/>
    <w:rsid w:val="00860935"/>
    <w:rsid w:val="00861BCF"/>
    <w:rsid w:val="008948DC"/>
    <w:rsid w:val="008B482C"/>
    <w:rsid w:val="008B6953"/>
    <w:rsid w:val="008C3BF8"/>
    <w:rsid w:val="008E10B7"/>
    <w:rsid w:val="008E50F5"/>
    <w:rsid w:val="008E5325"/>
    <w:rsid w:val="008F1B74"/>
    <w:rsid w:val="008F2FCB"/>
    <w:rsid w:val="00912E29"/>
    <w:rsid w:val="00915220"/>
    <w:rsid w:val="00924F74"/>
    <w:rsid w:val="00940B50"/>
    <w:rsid w:val="00950AA7"/>
    <w:rsid w:val="00966191"/>
    <w:rsid w:val="00976304"/>
    <w:rsid w:val="00982122"/>
    <w:rsid w:val="00991FAD"/>
    <w:rsid w:val="00992A3E"/>
    <w:rsid w:val="00993143"/>
    <w:rsid w:val="00996F61"/>
    <w:rsid w:val="009A0163"/>
    <w:rsid w:val="009B2979"/>
    <w:rsid w:val="009E77F9"/>
    <w:rsid w:val="009F0093"/>
    <w:rsid w:val="00A10E24"/>
    <w:rsid w:val="00A24E3E"/>
    <w:rsid w:val="00A30DEF"/>
    <w:rsid w:val="00A3368E"/>
    <w:rsid w:val="00A34EC0"/>
    <w:rsid w:val="00A479F6"/>
    <w:rsid w:val="00A55689"/>
    <w:rsid w:val="00A660F9"/>
    <w:rsid w:val="00A776F6"/>
    <w:rsid w:val="00A8642F"/>
    <w:rsid w:val="00AA144A"/>
    <w:rsid w:val="00AC25CB"/>
    <w:rsid w:val="00AC6230"/>
    <w:rsid w:val="00AC7E25"/>
    <w:rsid w:val="00AD0259"/>
    <w:rsid w:val="00AE0163"/>
    <w:rsid w:val="00AE6B51"/>
    <w:rsid w:val="00AF0DA2"/>
    <w:rsid w:val="00AF2A4B"/>
    <w:rsid w:val="00B04FC3"/>
    <w:rsid w:val="00B107F7"/>
    <w:rsid w:val="00B12A28"/>
    <w:rsid w:val="00B3254D"/>
    <w:rsid w:val="00B44733"/>
    <w:rsid w:val="00B46DB8"/>
    <w:rsid w:val="00B472A9"/>
    <w:rsid w:val="00B50219"/>
    <w:rsid w:val="00B56286"/>
    <w:rsid w:val="00B80062"/>
    <w:rsid w:val="00B868BB"/>
    <w:rsid w:val="00B87CC5"/>
    <w:rsid w:val="00BB7FC9"/>
    <w:rsid w:val="00BC016B"/>
    <w:rsid w:val="00BC7A03"/>
    <w:rsid w:val="00BD4547"/>
    <w:rsid w:val="00BD469D"/>
    <w:rsid w:val="00BE40BF"/>
    <w:rsid w:val="00BF22FE"/>
    <w:rsid w:val="00C01139"/>
    <w:rsid w:val="00C03BA9"/>
    <w:rsid w:val="00C12912"/>
    <w:rsid w:val="00C135BE"/>
    <w:rsid w:val="00C14AED"/>
    <w:rsid w:val="00C16F36"/>
    <w:rsid w:val="00C20600"/>
    <w:rsid w:val="00C24124"/>
    <w:rsid w:val="00C26E99"/>
    <w:rsid w:val="00C328D3"/>
    <w:rsid w:val="00C40D26"/>
    <w:rsid w:val="00C61FCD"/>
    <w:rsid w:val="00C651F0"/>
    <w:rsid w:val="00C84AB8"/>
    <w:rsid w:val="00C94510"/>
    <w:rsid w:val="00C9526F"/>
    <w:rsid w:val="00C97E39"/>
    <w:rsid w:val="00CC67F6"/>
    <w:rsid w:val="00CD2F0F"/>
    <w:rsid w:val="00CE5AEC"/>
    <w:rsid w:val="00D01C5E"/>
    <w:rsid w:val="00D078ED"/>
    <w:rsid w:val="00D163A3"/>
    <w:rsid w:val="00D32502"/>
    <w:rsid w:val="00D42EF2"/>
    <w:rsid w:val="00D464B6"/>
    <w:rsid w:val="00D51238"/>
    <w:rsid w:val="00D52216"/>
    <w:rsid w:val="00D640E8"/>
    <w:rsid w:val="00D657DD"/>
    <w:rsid w:val="00D70A95"/>
    <w:rsid w:val="00D72E88"/>
    <w:rsid w:val="00D8138C"/>
    <w:rsid w:val="00D8374E"/>
    <w:rsid w:val="00D95289"/>
    <w:rsid w:val="00DA3CA2"/>
    <w:rsid w:val="00DB20C3"/>
    <w:rsid w:val="00DB6C08"/>
    <w:rsid w:val="00DC1086"/>
    <w:rsid w:val="00DC406E"/>
    <w:rsid w:val="00DD2BE7"/>
    <w:rsid w:val="00DD7629"/>
    <w:rsid w:val="00DE54D5"/>
    <w:rsid w:val="00DE7490"/>
    <w:rsid w:val="00DF5524"/>
    <w:rsid w:val="00E04222"/>
    <w:rsid w:val="00E05141"/>
    <w:rsid w:val="00E147BC"/>
    <w:rsid w:val="00E21627"/>
    <w:rsid w:val="00E27660"/>
    <w:rsid w:val="00E3645C"/>
    <w:rsid w:val="00E36AE2"/>
    <w:rsid w:val="00E51AA2"/>
    <w:rsid w:val="00E556B9"/>
    <w:rsid w:val="00E56126"/>
    <w:rsid w:val="00E70003"/>
    <w:rsid w:val="00E70D86"/>
    <w:rsid w:val="00E91921"/>
    <w:rsid w:val="00EA3F1F"/>
    <w:rsid w:val="00EA6EF8"/>
    <w:rsid w:val="00EB4749"/>
    <w:rsid w:val="00ED2D90"/>
    <w:rsid w:val="00EF4B1C"/>
    <w:rsid w:val="00F00F44"/>
    <w:rsid w:val="00F020AD"/>
    <w:rsid w:val="00F33C5F"/>
    <w:rsid w:val="00F356BB"/>
    <w:rsid w:val="00F37238"/>
    <w:rsid w:val="00F442FA"/>
    <w:rsid w:val="00F443ED"/>
    <w:rsid w:val="00F71120"/>
    <w:rsid w:val="00F734EC"/>
    <w:rsid w:val="00F76C74"/>
    <w:rsid w:val="00F932F3"/>
    <w:rsid w:val="00FA19AC"/>
    <w:rsid w:val="00FA2A44"/>
    <w:rsid w:val="00FA5F89"/>
    <w:rsid w:val="00FB52E8"/>
    <w:rsid w:val="00FB648B"/>
    <w:rsid w:val="00FC5753"/>
    <w:rsid w:val="00FD7ACE"/>
    <w:rsid w:val="00FE5D04"/>
    <w:rsid w:val="032B0187"/>
    <w:rsid w:val="0516C791"/>
    <w:rsid w:val="06D2852A"/>
    <w:rsid w:val="11F605B8"/>
    <w:rsid w:val="26456E0F"/>
    <w:rsid w:val="29D8C2B3"/>
    <w:rsid w:val="2C8DA65E"/>
    <w:rsid w:val="37947E8C"/>
    <w:rsid w:val="38E54075"/>
    <w:rsid w:val="3D12EB29"/>
    <w:rsid w:val="419D168B"/>
    <w:rsid w:val="431AF932"/>
    <w:rsid w:val="4338E6EC"/>
    <w:rsid w:val="462E8564"/>
    <w:rsid w:val="4A057E62"/>
    <w:rsid w:val="577F8DD7"/>
    <w:rsid w:val="6CA5E182"/>
    <w:rsid w:val="759836DD"/>
    <w:rsid w:val="7AD9CD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46FA"/>
  <w15:chartTrackingRefBased/>
  <w15:docId w15:val="{BC7C4A68-A546-474C-9710-28C34E1D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2E"/>
    <w:pPr>
      <w:spacing w:after="200" w:line="276" w:lineRule="auto"/>
    </w:pPr>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791E2E"/>
    <w:rPr>
      <w:color w:val="0563C1" w:themeColor="hyperlink"/>
      <w:u w:val="single"/>
    </w:rPr>
  </w:style>
  <w:style w:type="table" w:styleId="TableGrid">
    <w:name w:val="Table Grid"/>
    <w:basedOn w:val="TableNormal"/>
    <w:uiPriority w:val="59"/>
    <w:qFormat/>
    <w:rsid w:val="00791E2E"/>
    <w:pPr>
      <w:spacing w:after="0" w:line="240" w:lineRule="auto"/>
    </w:pPr>
    <w:rPr>
      <w:rFonts w:eastAsia="SimSu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91E2E"/>
    <w:pPr>
      <w:autoSpaceDE w:val="0"/>
      <w:autoSpaceDN w:val="0"/>
      <w:adjustRightInd w:val="0"/>
      <w:spacing w:after="0" w:line="240" w:lineRule="auto"/>
    </w:pPr>
    <w:rPr>
      <w:rFonts w:ascii="Times New Roman" w:eastAsia="SimSun" w:hAnsi="Times New Roman" w:cs="Times New Roman"/>
      <w:color w:val="000000"/>
      <w:kern w:val="0"/>
      <w:sz w:val="24"/>
      <w:szCs w:val="24"/>
      <w14:ligatures w14:val="none"/>
    </w:rPr>
  </w:style>
  <w:style w:type="character" w:customStyle="1" w:styleId="apple-converted-space">
    <w:name w:val="apple-converted-space"/>
    <w:basedOn w:val="DefaultParagraphFont"/>
    <w:qFormat/>
    <w:rsid w:val="00791E2E"/>
  </w:style>
  <w:style w:type="character" w:customStyle="1" w:styleId="markedcontent">
    <w:name w:val="markedcontent"/>
    <w:basedOn w:val="DefaultParagraphFont"/>
    <w:rsid w:val="00791E2E"/>
  </w:style>
  <w:style w:type="paragraph" w:customStyle="1" w:styleId="Body1">
    <w:name w:val="Body 1"/>
    <w:rsid w:val="00791E2E"/>
    <w:pPr>
      <w:spacing w:after="0" w:line="240" w:lineRule="auto"/>
      <w:outlineLvl w:val="0"/>
    </w:pPr>
    <w:rPr>
      <w:rFonts w:ascii="Helvetica" w:eastAsia="ヒラギノ角ゴ Pro W3" w:hAnsi="Helvetica" w:cs="Times New Roman"/>
      <w:color w:val="000000"/>
      <w:kern w:val="0"/>
      <w:sz w:val="32"/>
      <w:szCs w:val="20"/>
      <w:lang w:val="en-US" w:bidi="th-TH"/>
      <w14:ligatures w14:val="none"/>
    </w:rPr>
  </w:style>
  <w:style w:type="paragraph" w:styleId="FootnoteText">
    <w:name w:val="footnote text"/>
    <w:basedOn w:val="Normal"/>
    <w:link w:val="FootnoteTextChar"/>
    <w:uiPriority w:val="99"/>
    <w:semiHidden/>
    <w:unhideWhenUsed/>
    <w:rsid w:val="00BF22FE"/>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BF22FE"/>
    <w:rPr>
      <w:sz w:val="20"/>
      <w:szCs w:val="20"/>
    </w:rPr>
  </w:style>
  <w:style w:type="character" w:styleId="FootnoteReference">
    <w:name w:val="footnote reference"/>
    <w:aliases w:val="Ref,de nota al pie,註腳內容,de nota al pie + (Asian) MS Mincho,11 pt,Footnote Reference1,Ref1,de nota al pie1,JLIS,Footnotes refss,Footnote number,opcalrc,callout,4_G"/>
    <w:basedOn w:val="DefaultParagraphFont"/>
    <w:uiPriority w:val="99"/>
    <w:unhideWhenUsed/>
    <w:qFormat/>
    <w:rsid w:val="00BF22FE"/>
    <w:rPr>
      <w:vertAlign w:val="superscript"/>
    </w:rPr>
  </w:style>
  <w:style w:type="paragraph" w:styleId="ListParagraph">
    <w:name w:val="List Paragraph"/>
    <w:basedOn w:val="Normal"/>
    <w:uiPriority w:val="34"/>
    <w:qFormat/>
    <w:rsid w:val="007816D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05616"/>
    <w:rPr>
      <w:color w:val="605E5C"/>
      <w:shd w:val="clear" w:color="auto" w:fill="E1DFDD"/>
    </w:rPr>
  </w:style>
  <w:style w:type="paragraph" w:styleId="Header">
    <w:name w:val="header"/>
    <w:basedOn w:val="Normal"/>
    <w:link w:val="HeaderChar"/>
    <w:uiPriority w:val="99"/>
    <w:unhideWhenUsed/>
    <w:rsid w:val="00323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DF"/>
    <w:rPr>
      <w:rFonts w:eastAsia="SimSun"/>
      <w:kern w:val="0"/>
      <w14:ligatures w14:val="none"/>
    </w:rPr>
  </w:style>
  <w:style w:type="paragraph" w:styleId="Footer">
    <w:name w:val="footer"/>
    <w:basedOn w:val="Normal"/>
    <w:link w:val="FooterChar"/>
    <w:uiPriority w:val="99"/>
    <w:unhideWhenUsed/>
    <w:rsid w:val="00323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DF"/>
    <w:rPr>
      <w:rFonts w:eastAsia="SimSun"/>
      <w:kern w:val="0"/>
      <w14:ligatures w14:val="none"/>
    </w:rPr>
  </w:style>
  <w:style w:type="character" w:styleId="FollowedHyperlink">
    <w:name w:val="FollowedHyperlink"/>
    <w:basedOn w:val="DefaultParagraphFont"/>
    <w:uiPriority w:val="99"/>
    <w:semiHidden/>
    <w:unhideWhenUsed/>
    <w:rsid w:val="003E5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20423">
      <w:bodyDiv w:val="1"/>
      <w:marLeft w:val="0"/>
      <w:marRight w:val="0"/>
      <w:marTop w:val="0"/>
      <w:marBottom w:val="0"/>
      <w:divBdr>
        <w:top w:val="none" w:sz="0" w:space="0" w:color="auto"/>
        <w:left w:val="none" w:sz="0" w:space="0" w:color="auto"/>
        <w:bottom w:val="none" w:sz="0" w:space="0" w:color="auto"/>
        <w:right w:val="none" w:sz="0" w:space="0" w:color="auto"/>
      </w:divBdr>
    </w:div>
    <w:div w:id="19740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ap.ohchr.org/documents/dpage_e.aspx?si=A/HRC/23/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image001.png@01DBA87D.825E7B50" TargetMode="External"/><Relationship Id="rId17" Type="http://schemas.openxmlformats.org/officeDocument/2006/relationships/hyperlink" Target="https://documents-dds-ny.un.org/doc/UNDOC/GEN/G22/240/42/PDF/G2224042.pdf?OpenElement" TargetMode="External"/><Relationship Id="rId2" Type="http://schemas.openxmlformats.org/officeDocument/2006/relationships/customXml" Target="../customXml/item2.xml"/><Relationship Id="rId16" Type="http://schemas.openxmlformats.org/officeDocument/2006/relationships/hyperlink" Target="https://documents-dds-ny.un.org/doc/UNDOC/GEN/G22/406/74/PDF/G2240674.pdf?OpenElement" TargetMode="External"/><Relationship Id="rId20" Type="http://schemas.openxmlformats.org/officeDocument/2006/relationships/hyperlink" Target="https://static1.squarespace.com/static/562094dee4b0d00c1a3ef761/t/57d9c6ebf5e231b2f02cd3d4/1473890031320/UNSG+HLP+Report+FINAL+12+Sept+201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ocs.un.org/en/A/HRC/59/29" TargetMode="External"/><Relationship Id="rId10" Type="http://schemas.openxmlformats.org/officeDocument/2006/relationships/image" Target="media/image1.jpeg"/><Relationship Id="rId19" Type="http://schemas.openxmlformats.org/officeDocument/2006/relationships/hyperlink" Target="http://www.unsgaccessmeds.org/reports-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dico.un.org/event/10186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F7F73466F0744E9D2A3C7FFFACD472" ma:contentTypeVersion="18" ma:contentTypeDescription="Create a new document." ma:contentTypeScope="" ma:versionID="9a712050b246aa4e9d6948519129e8a7">
  <xsd:schema xmlns:xsd="http://www.w3.org/2001/XMLSchema" xmlns:xs="http://www.w3.org/2001/XMLSchema" xmlns:p="http://schemas.microsoft.com/office/2006/metadata/properties" xmlns:ns2="6108e2be-6e4e-4c2a-8db1-60978655d257" xmlns:ns3="f1a8c0d7-a4cf-4f4e-9907-98647299089f" xmlns:ns4="985ec44e-1bab-4c0b-9df0-6ba128686fc9" targetNamespace="http://schemas.microsoft.com/office/2006/metadata/properties" ma:root="true" ma:fieldsID="7241d5fb6f6919ae27b943776ee5ee50" ns2:_="" ns3:_="" ns4:_="">
    <xsd:import namespace="6108e2be-6e4e-4c2a-8db1-60978655d257"/>
    <xsd:import namespace="f1a8c0d7-a4cf-4f4e-9907-98647299089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8e2be-6e4e-4c2a-8db1-60978655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8c0d7-a4cf-4f4e-9907-986472990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d633329-a99f-44de-91a1-193a9fe7c70b}" ma:internalName="TaxCatchAll" ma:showField="CatchAllData" ma:web="f1a8c0d7-a4cf-4f4e-9907-986472990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108e2be-6e4e-4c2a-8db1-60978655d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43DE5-0F32-4881-BAC1-4CCF9727F897}">
  <ds:schemaRefs>
    <ds:schemaRef ds:uri="http://schemas.microsoft.com/sharepoint/v3/contenttype/forms"/>
  </ds:schemaRefs>
</ds:datastoreItem>
</file>

<file path=customXml/itemProps2.xml><?xml version="1.0" encoding="utf-8"?>
<ds:datastoreItem xmlns:ds="http://schemas.openxmlformats.org/officeDocument/2006/customXml" ds:itemID="{E9341053-B82E-45E9-96A7-731D1FDE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8e2be-6e4e-4c2a-8db1-60978655d257"/>
    <ds:schemaRef ds:uri="f1a8c0d7-a4cf-4f4e-9907-98647299089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4A1A5-7D5F-4A08-9A36-A857DA4B6884}">
  <ds:schemaRefs>
    <ds:schemaRef ds:uri="http://schemas.microsoft.com/office/2006/metadata/properties"/>
    <ds:schemaRef ds:uri="http://schemas.microsoft.com/office/infopath/2007/PartnerControls"/>
    <ds:schemaRef ds:uri="985ec44e-1bab-4c0b-9df0-6ba128686fc9"/>
    <ds:schemaRef ds:uri="6108e2be-6e4e-4c2a-8db1-60978655d257"/>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ohchr-ESCR division</dc:creator>
  <cp:keywords/>
  <dc:description/>
  <cp:lastModifiedBy>ESCR</cp:lastModifiedBy>
  <cp:revision>11</cp:revision>
  <dcterms:created xsi:type="dcterms:W3CDTF">2025-06-25T18:05:00Z</dcterms:created>
  <dcterms:modified xsi:type="dcterms:W3CDTF">2025-06-25T18:39:00Z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0x010100E0F7F73466F0744E9D2A3C7FFFACD472</vt:lpwstr>
  </property>
  <property fmtid="{D5CDD505-2E9C-101B-9397-08002B2CF9AE}" pid="3" name="MediaServiceImageTags">
    <vt:lpwstr/>
  </property>
</Properties>
</file>