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A5F599" w14:textId="04BEB8A0" w:rsidR="004C5D2D" w:rsidRDefault="00735F61" w:rsidP="008A419B">
      <w:pPr>
        <w:spacing w:after="240" w:line="276" w:lineRule="auto"/>
        <w:jc w:val="center"/>
        <w:rPr>
          <w:rFonts w:ascii="Century Gothic" w:hAnsi="Century Gothic"/>
          <w:b/>
          <w:bCs/>
          <w:lang w:val="en-GB"/>
        </w:rPr>
      </w:pPr>
      <w:bookmarkStart w:id="0" w:name="_Hlk127860645"/>
      <w:bookmarkStart w:id="1" w:name="_Hlk127863907"/>
      <w:r>
        <w:rPr>
          <w:rFonts w:ascii="Century Gothic" w:hAnsi="Century Gothic"/>
          <w:b/>
          <w:bCs/>
          <w:lang w:val="en-GB"/>
        </w:rPr>
        <w:t>Global</w:t>
      </w:r>
      <w:r w:rsidR="00B22BD1">
        <w:rPr>
          <w:rFonts w:ascii="Century Gothic" w:hAnsi="Century Gothic"/>
          <w:b/>
          <w:bCs/>
          <w:lang w:val="en-GB"/>
        </w:rPr>
        <w:t xml:space="preserve"> Refractive Error</w:t>
      </w:r>
      <w:r w:rsidR="00CA63FD">
        <w:rPr>
          <w:rFonts w:ascii="Century Gothic" w:hAnsi="Century Gothic"/>
          <w:b/>
          <w:bCs/>
          <w:lang w:val="en-GB"/>
        </w:rPr>
        <w:t xml:space="preserve"> </w:t>
      </w:r>
      <w:r w:rsidR="0036084C">
        <w:rPr>
          <w:rFonts w:ascii="Century Gothic" w:hAnsi="Century Gothic"/>
          <w:b/>
          <w:bCs/>
          <w:lang w:val="en-GB"/>
        </w:rPr>
        <w:t>Expert</w:t>
      </w:r>
      <w:r w:rsidR="004C5D2D">
        <w:rPr>
          <w:rFonts w:ascii="Century Gothic" w:hAnsi="Century Gothic"/>
          <w:b/>
          <w:bCs/>
          <w:lang w:val="en-GB"/>
        </w:rPr>
        <w:t xml:space="preserve"> </w:t>
      </w:r>
      <w:r w:rsidR="00B22BD1">
        <w:rPr>
          <w:rFonts w:ascii="Century Gothic" w:hAnsi="Century Gothic"/>
          <w:b/>
          <w:bCs/>
          <w:lang w:val="en-GB"/>
        </w:rPr>
        <w:t>Consultation</w:t>
      </w:r>
    </w:p>
    <w:bookmarkEnd w:id="0"/>
    <w:p w14:paraId="6BBDFFB9" w14:textId="77777777" w:rsidR="0014617C" w:rsidRDefault="0014617C" w:rsidP="008A419B">
      <w:pPr>
        <w:spacing w:after="240" w:line="276" w:lineRule="auto"/>
        <w:jc w:val="center"/>
        <w:rPr>
          <w:rFonts w:ascii="Century Gothic" w:hAnsi="Century Gothic"/>
          <w:b/>
          <w:bCs/>
          <w:lang w:val="en-GB"/>
        </w:rPr>
      </w:pPr>
      <w:r w:rsidRPr="0014617C">
        <w:rPr>
          <w:rFonts w:ascii="Century Gothic" w:hAnsi="Century Gothic"/>
          <w:b/>
          <w:bCs/>
          <w:lang w:val="en-GB"/>
        </w:rPr>
        <w:t>11-12 May 2023</w:t>
      </w:r>
    </w:p>
    <w:p w14:paraId="1F169A6D" w14:textId="34599536" w:rsidR="004C5D2D" w:rsidRPr="00C54E5E" w:rsidRDefault="004C5D2D" w:rsidP="008A419B">
      <w:pPr>
        <w:spacing w:after="240" w:line="276" w:lineRule="auto"/>
        <w:jc w:val="center"/>
        <w:rPr>
          <w:rFonts w:ascii="Century Gothic" w:hAnsi="Century Gothic"/>
          <w:b/>
          <w:bCs/>
          <w:lang w:val="en-GB"/>
        </w:rPr>
      </w:pPr>
      <w:r w:rsidRPr="00AF2266">
        <w:rPr>
          <w:rFonts w:ascii="Century Gothic" w:hAnsi="Century Gothic"/>
          <w:b/>
          <w:bCs/>
          <w:lang w:val="en-GB"/>
        </w:rPr>
        <w:t>WHO Headquarters, Geneva, Switzerland</w:t>
      </w:r>
    </w:p>
    <w:p w14:paraId="412EF96D" w14:textId="25A3B133" w:rsidR="004C5D2D" w:rsidRDefault="004C5D2D" w:rsidP="008A419B">
      <w:pPr>
        <w:spacing w:after="240" w:line="276" w:lineRule="auto"/>
        <w:jc w:val="center"/>
        <w:rPr>
          <w:rFonts w:ascii="Century Gothic" w:hAnsi="Century Gothic"/>
          <w:lang w:val="en-GB"/>
        </w:rPr>
      </w:pPr>
      <w:r w:rsidRPr="007A02DA">
        <w:rPr>
          <w:rFonts w:ascii="Century Gothic" w:hAnsi="Century Gothic"/>
          <w:lang w:val="en-GB"/>
        </w:rPr>
        <w:t>Concept Note</w:t>
      </w:r>
    </w:p>
    <w:p w14:paraId="13D1B437" w14:textId="77777777" w:rsidR="000A6C4A" w:rsidRPr="00C84EC2" w:rsidRDefault="000A6C4A" w:rsidP="008A419B">
      <w:pPr>
        <w:spacing w:after="240" w:line="276" w:lineRule="auto"/>
        <w:jc w:val="center"/>
        <w:rPr>
          <w:rFonts w:ascii="Century Gothic" w:hAnsi="Century Gothic"/>
          <w:lang w:val="en-GB"/>
        </w:rPr>
      </w:pPr>
    </w:p>
    <w:bookmarkEnd w:id="1"/>
    <w:p w14:paraId="3F27BFE1" w14:textId="71A411D2" w:rsidR="00CD6257" w:rsidRPr="009C620C" w:rsidRDefault="00CD6257" w:rsidP="008A419B">
      <w:pPr>
        <w:tabs>
          <w:tab w:val="left" w:pos="340"/>
        </w:tabs>
        <w:suppressAutoHyphens/>
        <w:autoSpaceDE w:val="0"/>
        <w:autoSpaceDN w:val="0"/>
        <w:spacing w:after="140" w:line="276" w:lineRule="auto"/>
        <w:jc w:val="both"/>
        <w:textAlignment w:val="center"/>
        <w:rPr>
          <w:rFonts w:ascii="Century Gothic" w:hAnsi="Century Gothic" w:cstheme="minorHAnsi"/>
          <w:b/>
          <w:bCs/>
          <w:u w:val="single"/>
        </w:rPr>
      </w:pPr>
      <w:r w:rsidRPr="009C620C">
        <w:rPr>
          <w:rFonts w:ascii="Century Gothic" w:hAnsi="Century Gothic" w:cstheme="minorHAnsi"/>
          <w:b/>
          <w:bCs/>
          <w:u w:val="single"/>
        </w:rPr>
        <w:t>Background</w:t>
      </w:r>
    </w:p>
    <w:p w14:paraId="0203D529" w14:textId="60DD96F7" w:rsidR="00861DF7" w:rsidRPr="00861DF7" w:rsidRDefault="00861DF7" w:rsidP="008A419B">
      <w:pPr>
        <w:spacing w:after="120" w:line="276" w:lineRule="auto"/>
        <w:jc w:val="both"/>
        <w:rPr>
          <w:rFonts w:ascii="Century Gothic" w:hAnsi="Century Gothic"/>
        </w:rPr>
      </w:pPr>
      <w:r w:rsidRPr="00861DF7">
        <w:rPr>
          <w:rFonts w:ascii="Century Gothic" w:hAnsi="Century Gothic"/>
        </w:rPr>
        <w:t>Uncorrected refractive error is the leading cause of vision impairment in child and adult populations. Globally, it is estimated that only 36% of people with a distance vision impairment due to refractive error have received access to an appropriate pair of spectacles (1), while more than 800 million people have a near vision impairment (i.e. presbyopia) that could be addressed with a pair of reading spectacles (2). If left uncorrected, refractive error significantly impacts on well-being (3,4) and can contribute to poor academic performance in children (5,6). To confound this problem, the number of people in need of spectacles is expected to increase substantially in the coming decade</w:t>
      </w:r>
      <w:r w:rsidR="007B7C16">
        <w:rPr>
          <w:rFonts w:ascii="Century Gothic" w:hAnsi="Century Gothic"/>
        </w:rPr>
        <w:t>. This is because</w:t>
      </w:r>
      <w:r w:rsidRPr="00861DF7">
        <w:rPr>
          <w:rFonts w:ascii="Century Gothic" w:hAnsi="Century Gothic"/>
        </w:rPr>
        <w:t xml:space="preserve"> presbyopia (2.1 billion in 2030) is part of the ageing process, while </w:t>
      </w:r>
      <w:r w:rsidR="007B7C16" w:rsidRPr="00861DF7">
        <w:rPr>
          <w:rFonts w:ascii="Century Gothic" w:hAnsi="Century Gothic"/>
        </w:rPr>
        <w:t xml:space="preserve">life-style related risk factors </w:t>
      </w:r>
      <w:r w:rsidR="007B7C16">
        <w:rPr>
          <w:rFonts w:ascii="Century Gothic" w:hAnsi="Century Gothic"/>
        </w:rPr>
        <w:t xml:space="preserve">drive the </w:t>
      </w:r>
      <w:r w:rsidRPr="00861DF7">
        <w:rPr>
          <w:rFonts w:ascii="Century Gothic" w:hAnsi="Century Gothic"/>
        </w:rPr>
        <w:t>projected increases in myopia (3.36 billion by 2030) in the younger population (2).</w:t>
      </w:r>
    </w:p>
    <w:p w14:paraId="6815492E" w14:textId="2B2F4032" w:rsidR="00861DF7" w:rsidRPr="00861DF7" w:rsidRDefault="00861DF7" w:rsidP="008A419B">
      <w:pPr>
        <w:spacing w:after="120" w:line="276" w:lineRule="auto"/>
        <w:jc w:val="both"/>
        <w:rPr>
          <w:rFonts w:ascii="Century Gothic" w:hAnsi="Century Gothic"/>
        </w:rPr>
      </w:pPr>
      <w:r w:rsidRPr="00861DF7">
        <w:rPr>
          <w:rFonts w:ascii="Century Gothic" w:hAnsi="Century Gothic"/>
        </w:rPr>
        <w:t xml:space="preserve">Reduced vision from refractive errors can be fully corrected with the use of spectacles or contact lenses, or corrected by laser surgery on reaching adulthood. Spectacles are a non-invasive assistive product and are part of the WHO Priority Assistive Products List (7). Despite the availability of this simple, sight-restoring intervention, there are several challenges to increasing spectacle coverage, particularly in </w:t>
      </w:r>
      <w:r w:rsidR="00766BEB" w:rsidRPr="00861DF7">
        <w:rPr>
          <w:rFonts w:ascii="Century Gothic" w:hAnsi="Century Gothic"/>
        </w:rPr>
        <w:t>low- and middle-income</w:t>
      </w:r>
      <w:r w:rsidRPr="00861DF7">
        <w:rPr>
          <w:rFonts w:ascii="Century Gothic" w:hAnsi="Century Gothic"/>
        </w:rPr>
        <w:t xml:space="preserve"> countries (LMICs). Firstly, as with many other health conditions, the burden of uncorrected refractive error tends to be greater in typically underserved populations, such as people living in rural areas, those with low incomes, women, indigenous populations, and ethnic minorities (2). Secondly, most LMICs do not perceive spectacles as health/medical items (but rather as cosmetic products) and refractive and optical services are commonly only available in the private sector (8). This results in availability, affordability and quality issues. Other key challenges include insufficient availability of qualified human resources to refract and dispense spectacles, limited government oversight and clinical regulation, scarce services points that are predominantly located in urban areas, and low awareness and acceptance of spectacles among the public. </w:t>
      </w:r>
    </w:p>
    <w:p w14:paraId="785241AC" w14:textId="77777777" w:rsidR="00E119AF" w:rsidRDefault="00E119AF" w:rsidP="008A419B">
      <w:pPr>
        <w:spacing w:after="120" w:line="276" w:lineRule="auto"/>
        <w:rPr>
          <w:rFonts w:ascii="Century Gothic" w:hAnsi="Century Gothic"/>
          <w:b/>
          <w:bCs/>
          <w:u w:val="single"/>
        </w:rPr>
      </w:pPr>
    </w:p>
    <w:p w14:paraId="13A547E7" w14:textId="220A336C" w:rsidR="00861DF7" w:rsidRPr="001F2A0B" w:rsidRDefault="008A419B" w:rsidP="000A6C4A">
      <w:pPr>
        <w:rPr>
          <w:rFonts w:ascii="Century Gothic" w:hAnsi="Century Gothic"/>
          <w:b/>
          <w:bCs/>
          <w:u w:val="single"/>
        </w:rPr>
      </w:pPr>
      <w:r>
        <w:rPr>
          <w:rFonts w:ascii="Century Gothic" w:hAnsi="Century Gothic"/>
          <w:b/>
          <w:bCs/>
          <w:u w:val="single"/>
        </w:rPr>
        <w:br w:type="page"/>
      </w:r>
      <w:r w:rsidR="00861DF7" w:rsidRPr="001F2A0B">
        <w:rPr>
          <w:rFonts w:ascii="Century Gothic" w:hAnsi="Century Gothic"/>
          <w:b/>
          <w:bCs/>
          <w:u w:val="single"/>
        </w:rPr>
        <w:lastRenderedPageBreak/>
        <w:t>Health economic rationale</w:t>
      </w:r>
    </w:p>
    <w:p w14:paraId="46C41966" w14:textId="77777777" w:rsidR="00861DF7" w:rsidRPr="001F2A0B" w:rsidRDefault="00861DF7" w:rsidP="008A419B">
      <w:pPr>
        <w:spacing w:after="120" w:line="276" w:lineRule="auto"/>
        <w:jc w:val="both"/>
        <w:rPr>
          <w:rFonts w:ascii="Century Gothic" w:hAnsi="Century Gothic"/>
        </w:rPr>
      </w:pPr>
      <w:r w:rsidRPr="001F2A0B">
        <w:rPr>
          <w:rFonts w:ascii="Century Gothic" w:hAnsi="Century Gothic"/>
        </w:rPr>
        <w:t>Uncorrected refractive error poses an enormous economic burden on society: annual global productivity losses associated with vision impairment from uncorrected myopia in adults and presbyopia alone are estimated to be US$244 billion and US$25.4 billion, respectively (9,10). These figures far outweigh the estimated financial resource gap of addressing the unmet need of vision impairment due to uncorrected refractive error estimated at US$ 16 billion, thus providing a strong health economic rationale for increasing coverage of spectacles.</w:t>
      </w:r>
    </w:p>
    <w:p w14:paraId="6AE58C19" w14:textId="77777777" w:rsidR="00E119AF" w:rsidRDefault="00E119AF" w:rsidP="008A419B">
      <w:pPr>
        <w:spacing w:after="120" w:line="276" w:lineRule="auto"/>
        <w:rPr>
          <w:rFonts w:ascii="Century Gothic" w:hAnsi="Century Gothic"/>
          <w:b/>
          <w:bCs/>
          <w:u w:val="single"/>
        </w:rPr>
      </w:pPr>
    </w:p>
    <w:p w14:paraId="1C1FDD8D" w14:textId="06AE61AB" w:rsidR="00861DF7" w:rsidRPr="001F2A0B" w:rsidRDefault="00861DF7" w:rsidP="008A419B">
      <w:pPr>
        <w:spacing w:after="120" w:line="276" w:lineRule="auto"/>
        <w:rPr>
          <w:rFonts w:ascii="Century Gothic" w:hAnsi="Century Gothic"/>
          <w:b/>
          <w:bCs/>
          <w:u w:val="single"/>
        </w:rPr>
      </w:pPr>
      <w:r w:rsidRPr="001F2A0B">
        <w:rPr>
          <w:rFonts w:ascii="Century Gothic" w:hAnsi="Century Gothic"/>
          <w:b/>
          <w:bCs/>
          <w:u w:val="single"/>
        </w:rPr>
        <w:t>The 2030 global target on effective coverage of refractive error</w:t>
      </w:r>
    </w:p>
    <w:p w14:paraId="0D83298A" w14:textId="40C1339A" w:rsidR="00861DF7" w:rsidRPr="00861DF7" w:rsidRDefault="00861DF7" w:rsidP="008A419B">
      <w:pPr>
        <w:spacing w:after="120" w:line="276" w:lineRule="auto"/>
        <w:jc w:val="both"/>
        <w:rPr>
          <w:rFonts w:ascii="Century Gothic" w:hAnsi="Century Gothic"/>
        </w:rPr>
      </w:pPr>
      <w:r w:rsidRPr="00861DF7">
        <w:rPr>
          <w:rFonts w:ascii="Century Gothic" w:hAnsi="Century Gothic"/>
        </w:rPr>
        <w:t>In recognition of the large unmet need for care, coupled with the fact a highly cost–effective intervention exists (i.e. spectacles), WHO Member States endorsed the first-ever global target for refractive error at the Seventy-fourth World Health Assembly (2021). Specifically, the global target is a 40-percentage point increase in effective coverage of refractive error (eREC) by 2030. Given the well-established impact of near vision impairment on quality of life and productivity (11), both, spectacle coverage for distance refractive error and near vision impairment due to presbyopia, will be considered in the global monitoring of eREC. This indicator and related target is intended to drive increases in refractive error coverage in countries while delivering high quality care.</w:t>
      </w:r>
    </w:p>
    <w:p w14:paraId="7BDD5943" w14:textId="77777777" w:rsidR="00861DF7" w:rsidRPr="00861DF7" w:rsidRDefault="00861DF7" w:rsidP="008A419B">
      <w:pPr>
        <w:spacing w:after="120" w:line="276" w:lineRule="auto"/>
        <w:jc w:val="both"/>
        <w:rPr>
          <w:rFonts w:ascii="Century Gothic" w:hAnsi="Century Gothic"/>
        </w:rPr>
      </w:pPr>
      <w:r w:rsidRPr="00861DF7">
        <w:rPr>
          <w:rFonts w:ascii="Century Gothic" w:hAnsi="Century Gothic"/>
        </w:rPr>
        <w:t>In October 2022, WHO launched the first report on the 2030 targets on effective coverage of eye care which serves as reference point to commence monitoring progress towards the  global target for eREC (1).</w:t>
      </w:r>
    </w:p>
    <w:p w14:paraId="467A38B6" w14:textId="77777777" w:rsidR="00E119AF" w:rsidRDefault="00E119AF" w:rsidP="008A419B">
      <w:pPr>
        <w:spacing w:after="120" w:line="276" w:lineRule="auto"/>
        <w:rPr>
          <w:rFonts w:ascii="Century Gothic" w:hAnsi="Century Gothic"/>
          <w:b/>
          <w:bCs/>
          <w:u w:val="single"/>
        </w:rPr>
      </w:pPr>
    </w:p>
    <w:p w14:paraId="75B66023" w14:textId="033C9704" w:rsidR="00861DF7" w:rsidRPr="003D665D" w:rsidRDefault="001F2A0B" w:rsidP="008A419B">
      <w:pPr>
        <w:spacing w:after="120" w:line="276" w:lineRule="auto"/>
        <w:rPr>
          <w:rFonts w:ascii="Century Gothic" w:hAnsi="Century Gothic"/>
          <w:b/>
          <w:bCs/>
          <w:u w:val="single"/>
        </w:rPr>
      </w:pPr>
      <w:r w:rsidRPr="003D665D">
        <w:rPr>
          <w:rFonts w:ascii="Century Gothic" w:hAnsi="Century Gothic"/>
          <w:b/>
          <w:bCs/>
          <w:u w:val="single"/>
        </w:rPr>
        <w:t>WHO’s response</w:t>
      </w:r>
    </w:p>
    <w:p w14:paraId="067413C4" w14:textId="6D667749" w:rsidR="00CE59FE" w:rsidRPr="00C31A50" w:rsidRDefault="00936BEB" w:rsidP="008A419B">
      <w:pPr>
        <w:spacing w:after="120" w:line="276" w:lineRule="auto"/>
        <w:jc w:val="both"/>
        <w:rPr>
          <w:rFonts w:ascii="Century Gothic" w:hAnsi="Century Gothic"/>
        </w:rPr>
      </w:pPr>
      <w:r>
        <w:rPr>
          <w:rFonts w:ascii="Century Gothic" w:hAnsi="Century Gothic"/>
        </w:rPr>
        <w:t xml:space="preserve">In order </w:t>
      </w:r>
      <w:r w:rsidRPr="00861DF7">
        <w:rPr>
          <w:rFonts w:ascii="Century Gothic" w:hAnsi="Century Gothic"/>
        </w:rPr>
        <w:t>to support Member States to achieve the World Health Assembly endorsed 2030 target on eREC</w:t>
      </w:r>
      <w:r w:rsidR="00375695">
        <w:rPr>
          <w:rFonts w:ascii="Century Gothic" w:hAnsi="Century Gothic"/>
        </w:rPr>
        <w:t>, WHO plans to launch a global initiative</w:t>
      </w:r>
      <w:r w:rsidR="001B0FE3">
        <w:rPr>
          <w:rFonts w:ascii="Century Gothic" w:hAnsi="Century Gothic"/>
        </w:rPr>
        <w:t xml:space="preserve"> in 2023</w:t>
      </w:r>
      <w:r w:rsidR="00375695">
        <w:rPr>
          <w:rFonts w:ascii="Century Gothic" w:hAnsi="Century Gothic"/>
        </w:rPr>
        <w:t xml:space="preserve"> </w:t>
      </w:r>
      <w:r w:rsidR="001B0FE3">
        <w:rPr>
          <w:rFonts w:ascii="Century Gothic" w:hAnsi="Century Gothic"/>
        </w:rPr>
        <w:t>titled</w:t>
      </w:r>
      <w:r w:rsidR="006D078C">
        <w:rPr>
          <w:rFonts w:ascii="Century Gothic" w:hAnsi="Century Gothic"/>
        </w:rPr>
        <w:t xml:space="preserve"> </w:t>
      </w:r>
      <w:r w:rsidR="006D078C" w:rsidRPr="006D078C">
        <w:rPr>
          <w:rFonts w:ascii="Century Gothic" w:hAnsi="Century Gothic"/>
          <w:b/>
          <w:bCs/>
        </w:rPr>
        <w:t>‘WHO SPECS 2030”</w:t>
      </w:r>
      <w:r w:rsidR="006D078C">
        <w:rPr>
          <w:rFonts w:ascii="Century Gothic" w:hAnsi="Century Gothic"/>
          <w:b/>
          <w:bCs/>
        </w:rPr>
        <w:t xml:space="preserve">. </w:t>
      </w:r>
      <w:r w:rsidR="00CE59FE" w:rsidRPr="00C31A50">
        <w:rPr>
          <w:rFonts w:ascii="Century Gothic" w:eastAsiaTheme="minorEastAsia" w:hAnsi="Century Gothic" w:cs="Arial"/>
          <w:lang w:eastAsia="zh-CN"/>
        </w:rPr>
        <w:t>Through WHO SPECS 2030,</w:t>
      </w:r>
      <w:r w:rsidR="006B19C3">
        <w:rPr>
          <w:rFonts w:ascii="Century Gothic" w:eastAsiaTheme="minorEastAsia" w:hAnsi="Century Gothic" w:cs="Arial"/>
          <w:lang w:eastAsia="zh-CN"/>
        </w:rPr>
        <w:t xml:space="preserve"> </w:t>
      </w:r>
      <w:r w:rsidR="00CE59FE" w:rsidRPr="00C31A50">
        <w:rPr>
          <w:rFonts w:ascii="Century Gothic" w:eastAsiaTheme="minorEastAsia" w:hAnsi="Century Gothic" w:cs="Arial"/>
          <w:lang w:eastAsia="zh-CN"/>
        </w:rPr>
        <w:t>WHO intends to:</w:t>
      </w:r>
    </w:p>
    <w:p w14:paraId="2E27013F" w14:textId="77777777" w:rsidR="00CE59FE" w:rsidRPr="00C31A50" w:rsidRDefault="00CE59FE" w:rsidP="008A419B">
      <w:pPr>
        <w:numPr>
          <w:ilvl w:val="0"/>
          <w:numId w:val="27"/>
        </w:numPr>
        <w:spacing w:after="200" w:line="276" w:lineRule="auto"/>
        <w:contextualSpacing/>
        <w:jc w:val="both"/>
        <w:rPr>
          <w:rFonts w:ascii="Century Gothic" w:eastAsiaTheme="minorEastAsia" w:hAnsi="Century Gothic" w:cs="Arial"/>
          <w:lang w:eastAsia="zh-CN"/>
        </w:rPr>
      </w:pPr>
      <w:r w:rsidRPr="00C31A50">
        <w:rPr>
          <w:rFonts w:ascii="Century Gothic" w:eastAsiaTheme="minorEastAsia" w:hAnsi="Century Gothic" w:cs="Arial"/>
          <w:lang w:eastAsia="zh-CN"/>
        </w:rPr>
        <w:t>Develop the necessary technical products and guidance to facilitate health planners in strengthening the integration of vision screening and refractive error services within and beyond health systems;</w:t>
      </w:r>
    </w:p>
    <w:p w14:paraId="2967ACD3" w14:textId="65C573B9" w:rsidR="00CE59FE" w:rsidRPr="00C31A50" w:rsidRDefault="00CE59FE" w:rsidP="008A419B">
      <w:pPr>
        <w:numPr>
          <w:ilvl w:val="0"/>
          <w:numId w:val="27"/>
        </w:numPr>
        <w:spacing w:after="200" w:line="276" w:lineRule="auto"/>
        <w:contextualSpacing/>
        <w:jc w:val="both"/>
        <w:rPr>
          <w:rFonts w:ascii="Century Gothic" w:eastAsiaTheme="minorEastAsia" w:hAnsi="Century Gothic" w:cs="Arial"/>
          <w:lang w:eastAsia="zh-CN"/>
        </w:rPr>
      </w:pPr>
      <w:r w:rsidRPr="00C31A50">
        <w:rPr>
          <w:rFonts w:ascii="Century Gothic" w:eastAsiaTheme="minorEastAsia" w:hAnsi="Century Gothic" w:cs="Arial"/>
          <w:lang w:eastAsia="zh-CN"/>
        </w:rPr>
        <w:t>Provide a platform for stakeholders across all relevant programmes and sectors</w:t>
      </w:r>
      <w:bookmarkStart w:id="2" w:name="_Hlk120796181"/>
      <w:r w:rsidR="008A419B">
        <w:rPr>
          <w:rFonts w:ascii="Century Gothic" w:eastAsiaTheme="minorEastAsia" w:hAnsi="Century Gothic" w:cs="Arial"/>
          <w:lang w:eastAsia="zh-CN"/>
        </w:rPr>
        <w:t xml:space="preserve"> </w:t>
      </w:r>
      <w:r w:rsidRPr="00C31A50">
        <w:rPr>
          <w:rFonts w:ascii="Century Gothic" w:eastAsiaTheme="minorEastAsia" w:hAnsi="Century Gothic" w:cs="Arial"/>
          <w:lang w:eastAsia="zh-CN"/>
        </w:rPr>
        <w:t>to promote united action and coordinated advocacy towards the achievement of the 2030 global target for refractive error</w:t>
      </w:r>
      <w:bookmarkEnd w:id="2"/>
      <w:r w:rsidRPr="00C31A50">
        <w:rPr>
          <w:rFonts w:ascii="Century Gothic" w:eastAsiaTheme="minorEastAsia" w:hAnsi="Century Gothic" w:cs="Arial"/>
          <w:lang w:eastAsia="zh-CN"/>
        </w:rPr>
        <w:t>;</w:t>
      </w:r>
    </w:p>
    <w:p w14:paraId="095DD374" w14:textId="77777777" w:rsidR="00CE59FE" w:rsidRPr="00C31A50" w:rsidRDefault="00CE59FE" w:rsidP="008A419B">
      <w:pPr>
        <w:numPr>
          <w:ilvl w:val="0"/>
          <w:numId w:val="27"/>
        </w:numPr>
        <w:spacing w:after="200" w:line="276" w:lineRule="auto"/>
        <w:contextualSpacing/>
        <w:jc w:val="both"/>
        <w:rPr>
          <w:rFonts w:ascii="Century Gothic" w:eastAsiaTheme="minorEastAsia" w:hAnsi="Century Gothic" w:cs="Arial"/>
          <w:lang w:eastAsia="zh-CN"/>
        </w:rPr>
      </w:pPr>
      <w:r w:rsidRPr="00C31A50">
        <w:rPr>
          <w:rFonts w:ascii="Century Gothic" w:eastAsiaTheme="minorEastAsia" w:hAnsi="Century Gothic" w:cs="Arial"/>
          <w:lang w:eastAsia="zh-CN"/>
        </w:rPr>
        <w:lastRenderedPageBreak/>
        <w:t xml:space="preserve">Engage in dialogue with the private sector to encourage meaningful contributions to national responses for sustainably scaling up the coverage of refractive error services; and </w:t>
      </w:r>
    </w:p>
    <w:p w14:paraId="6F85B07A" w14:textId="77777777" w:rsidR="00CE59FE" w:rsidRDefault="00CE59FE" w:rsidP="008A419B">
      <w:pPr>
        <w:numPr>
          <w:ilvl w:val="0"/>
          <w:numId w:val="27"/>
        </w:numPr>
        <w:spacing w:after="200" w:line="276" w:lineRule="auto"/>
        <w:contextualSpacing/>
        <w:jc w:val="both"/>
        <w:rPr>
          <w:rFonts w:ascii="Century Gothic" w:eastAsiaTheme="minorEastAsia" w:hAnsi="Century Gothic" w:cs="Arial"/>
          <w:lang w:eastAsia="zh-CN"/>
        </w:rPr>
      </w:pPr>
      <w:r w:rsidRPr="00C31A50">
        <w:rPr>
          <w:rFonts w:ascii="Century Gothic" w:eastAsiaTheme="minorEastAsia" w:hAnsi="Century Gothic" w:cs="Arial"/>
          <w:lang w:eastAsia="zh-CN"/>
        </w:rPr>
        <w:t>Engage in policy dialogue with Member States to drive evidence-informed decision-making to accelerate progress and bridge the gap between the global eye care commitments and country implementation.</w:t>
      </w:r>
    </w:p>
    <w:p w14:paraId="4D7C21C5" w14:textId="7033106D" w:rsidR="00222781" w:rsidRDefault="00222781" w:rsidP="008A419B">
      <w:pPr>
        <w:spacing w:after="200" w:line="276" w:lineRule="auto"/>
        <w:contextualSpacing/>
        <w:jc w:val="both"/>
        <w:rPr>
          <w:rFonts w:ascii="Century Gothic" w:eastAsiaTheme="minorEastAsia" w:hAnsi="Century Gothic" w:cs="Arial"/>
          <w:lang w:eastAsia="zh-CN"/>
        </w:rPr>
      </w:pPr>
    </w:p>
    <w:p w14:paraId="2005BB82" w14:textId="4202A98B" w:rsidR="00222781" w:rsidRDefault="00663D77" w:rsidP="008A419B">
      <w:pPr>
        <w:spacing w:after="120" w:line="276" w:lineRule="auto"/>
        <w:jc w:val="both"/>
        <w:rPr>
          <w:rFonts w:ascii="Century Gothic" w:hAnsi="Century Gothic"/>
        </w:rPr>
      </w:pPr>
      <w:r w:rsidRPr="00663D77">
        <w:rPr>
          <w:rFonts w:ascii="Century Gothic" w:hAnsi="Century Gothic"/>
        </w:rPr>
        <w:t>This</w:t>
      </w:r>
      <w:r>
        <w:rPr>
          <w:rFonts w:ascii="Century Gothic" w:hAnsi="Century Gothic"/>
        </w:rPr>
        <w:t xml:space="preserve"> consultation intends to</w:t>
      </w:r>
      <w:r w:rsidRPr="00663D77">
        <w:rPr>
          <w:rFonts w:ascii="Century Gothic" w:hAnsi="Century Gothic"/>
        </w:rPr>
        <w:t xml:space="preserve"> bring together </w:t>
      </w:r>
      <w:r>
        <w:rPr>
          <w:rFonts w:ascii="Century Gothic" w:hAnsi="Century Gothic"/>
        </w:rPr>
        <w:t>stakeholders</w:t>
      </w:r>
      <w:r w:rsidRPr="00663D77">
        <w:rPr>
          <w:rFonts w:ascii="Century Gothic" w:hAnsi="Century Gothic"/>
        </w:rPr>
        <w:t xml:space="preserve"> from the </w:t>
      </w:r>
      <w:r w:rsidR="000B1E83">
        <w:rPr>
          <w:rFonts w:ascii="Century Gothic" w:hAnsi="Century Gothic"/>
        </w:rPr>
        <w:t xml:space="preserve">United Nations </w:t>
      </w:r>
      <w:r w:rsidR="000B1E83" w:rsidRPr="00E13A16">
        <w:rPr>
          <w:rFonts w:ascii="Century Gothic" w:hAnsi="Century Gothic"/>
        </w:rPr>
        <w:t>Organizations</w:t>
      </w:r>
      <w:r w:rsidR="00B57B43" w:rsidRPr="00E13A16">
        <w:rPr>
          <w:rFonts w:ascii="Century Gothic" w:hAnsi="Century Gothic"/>
        </w:rPr>
        <w:t>,</w:t>
      </w:r>
      <w:r w:rsidR="00A319B4" w:rsidRPr="00E13A16">
        <w:rPr>
          <w:rFonts w:ascii="Century Gothic" w:hAnsi="Century Gothic"/>
        </w:rPr>
        <w:t xml:space="preserve"> </w:t>
      </w:r>
      <w:r w:rsidR="00E13A16" w:rsidRPr="00E13A16">
        <w:rPr>
          <w:rFonts w:ascii="Century Gothic" w:hAnsi="Century Gothic"/>
        </w:rPr>
        <w:t>and</w:t>
      </w:r>
      <w:r w:rsidR="00E13A16">
        <w:t xml:space="preserve"> </w:t>
      </w:r>
      <w:r w:rsidR="00A319B4" w:rsidRPr="00A319B4">
        <w:rPr>
          <w:rFonts w:ascii="Century Gothic" w:hAnsi="Century Gothic"/>
        </w:rPr>
        <w:t>representatives from</w:t>
      </w:r>
      <w:r w:rsidR="00E13A16">
        <w:rPr>
          <w:rFonts w:ascii="Century Gothic" w:hAnsi="Century Gothic"/>
        </w:rPr>
        <w:t xml:space="preserve"> </w:t>
      </w:r>
      <w:r w:rsidR="00F6164A">
        <w:rPr>
          <w:rFonts w:ascii="Century Gothic" w:hAnsi="Century Gothic"/>
        </w:rPr>
        <w:t xml:space="preserve">relevant </w:t>
      </w:r>
      <w:r w:rsidR="00E13A16">
        <w:rPr>
          <w:rFonts w:ascii="Century Gothic" w:hAnsi="Century Gothic"/>
        </w:rPr>
        <w:t>n</w:t>
      </w:r>
      <w:r w:rsidR="00A319B4" w:rsidRPr="00A319B4">
        <w:rPr>
          <w:rFonts w:ascii="Century Gothic" w:hAnsi="Century Gothic"/>
        </w:rPr>
        <w:t>ongovernmental organizations</w:t>
      </w:r>
      <w:r w:rsidR="00E13A16">
        <w:rPr>
          <w:rFonts w:ascii="Century Gothic" w:hAnsi="Century Gothic"/>
        </w:rPr>
        <w:t>, p</w:t>
      </w:r>
      <w:r w:rsidR="00A319B4" w:rsidRPr="00A319B4">
        <w:rPr>
          <w:rFonts w:ascii="Century Gothic" w:hAnsi="Century Gothic"/>
        </w:rPr>
        <w:t>hilanthropic foundations</w:t>
      </w:r>
      <w:r w:rsidR="00E13A16">
        <w:rPr>
          <w:rFonts w:ascii="Century Gothic" w:hAnsi="Century Gothic"/>
        </w:rPr>
        <w:t>, and a</w:t>
      </w:r>
      <w:r w:rsidR="00A319B4" w:rsidRPr="00A319B4">
        <w:rPr>
          <w:rFonts w:ascii="Century Gothic" w:hAnsi="Century Gothic"/>
        </w:rPr>
        <w:t>cademic institutions</w:t>
      </w:r>
      <w:r w:rsidR="004E641D">
        <w:rPr>
          <w:rFonts w:ascii="Century Gothic" w:hAnsi="Century Gothic"/>
        </w:rPr>
        <w:t>.</w:t>
      </w:r>
    </w:p>
    <w:p w14:paraId="150DCC45" w14:textId="64354D31" w:rsidR="008A419B" w:rsidRDefault="008A419B" w:rsidP="008A419B">
      <w:pPr>
        <w:spacing w:line="276" w:lineRule="auto"/>
        <w:rPr>
          <w:rFonts w:ascii="Century Gothic" w:hAnsi="Century Gothic"/>
          <w:b/>
          <w:bCs/>
          <w:lang w:val="en-GB"/>
        </w:rPr>
      </w:pPr>
    </w:p>
    <w:p w14:paraId="2164B3F7" w14:textId="07D51831" w:rsidR="00CA326F" w:rsidRPr="009C620C" w:rsidRDefault="008C6A79" w:rsidP="008A419B">
      <w:pPr>
        <w:spacing w:after="120" w:line="276" w:lineRule="auto"/>
        <w:rPr>
          <w:rFonts w:ascii="Century Gothic" w:hAnsi="Century Gothic"/>
          <w:b/>
          <w:bCs/>
          <w:lang w:val="en-GB"/>
        </w:rPr>
      </w:pPr>
      <w:r w:rsidRPr="009C620C">
        <w:rPr>
          <w:rFonts w:ascii="Century Gothic" w:hAnsi="Century Gothic"/>
          <w:b/>
          <w:bCs/>
          <w:lang w:val="en-GB"/>
        </w:rPr>
        <w:t>O</w:t>
      </w:r>
      <w:r w:rsidR="00CA326F" w:rsidRPr="009C620C">
        <w:rPr>
          <w:rFonts w:ascii="Century Gothic" w:hAnsi="Century Gothic"/>
          <w:b/>
          <w:bCs/>
          <w:lang w:val="en-GB"/>
        </w:rPr>
        <w:t xml:space="preserve">BJECTIVES OF THE </w:t>
      </w:r>
      <w:r w:rsidR="006878DD">
        <w:rPr>
          <w:rFonts w:ascii="Century Gothic" w:hAnsi="Century Gothic"/>
          <w:b/>
          <w:bCs/>
          <w:lang w:val="en-GB"/>
        </w:rPr>
        <w:t>CONSULTATION</w:t>
      </w:r>
      <w:r w:rsidR="000721D0" w:rsidRPr="009C620C">
        <w:rPr>
          <w:rFonts w:ascii="Century Gothic" w:hAnsi="Century Gothic" w:cs="Montserrat"/>
        </w:rPr>
        <w:t xml:space="preserve"> </w:t>
      </w:r>
      <w:r w:rsidR="000721D0" w:rsidRPr="009C620C">
        <w:rPr>
          <w:rFonts w:ascii="Century Gothic" w:hAnsi="Century Gothic"/>
          <w:bCs/>
          <w:lang w:val="en-GB"/>
        </w:rPr>
        <w:t xml:space="preserve"> </w:t>
      </w:r>
    </w:p>
    <w:p w14:paraId="2E132748" w14:textId="5D27F5ED" w:rsidR="007D5E47" w:rsidRPr="00D31BFC" w:rsidRDefault="0024472F" w:rsidP="008A419B">
      <w:pPr>
        <w:pStyle w:val="ListParagraph"/>
        <w:numPr>
          <w:ilvl w:val="0"/>
          <w:numId w:val="25"/>
        </w:numPr>
        <w:spacing w:line="276" w:lineRule="auto"/>
        <w:rPr>
          <w:rFonts w:ascii="Century Gothic" w:hAnsi="Century Gothic"/>
          <w:lang w:val="en-GB"/>
        </w:rPr>
      </w:pPr>
      <w:bookmarkStart w:id="3" w:name="_Hlk127861562"/>
      <w:r w:rsidRPr="00D31BFC">
        <w:rPr>
          <w:rFonts w:ascii="Century Gothic" w:hAnsi="Century Gothic"/>
          <w:lang w:val="en-GB"/>
        </w:rPr>
        <w:t xml:space="preserve">To </w:t>
      </w:r>
      <w:r w:rsidR="00A20F31" w:rsidRPr="00D31BFC">
        <w:rPr>
          <w:rFonts w:ascii="Century Gothic" w:hAnsi="Century Gothic"/>
          <w:lang w:val="en-GB"/>
        </w:rPr>
        <w:t xml:space="preserve">obtain feedback from stakeholders </w:t>
      </w:r>
      <w:r w:rsidR="00B4791B" w:rsidRPr="00D31BFC">
        <w:rPr>
          <w:rFonts w:ascii="Century Gothic" w:hAnsi="Century Gothic"/>
          <w:lang w:val="en-GB"/>
        </w:rPr>
        <w:t xml:space="preserve">on </w:t>
      </w:r>
      <w:r w:rsidR="007D5E47" w:rsidRPr="00D31BFC">
        <w:rPr>
          <w:rFonts w:ascii="Century Gothic" w:hAnsi="Century Gothic"/>
          <w:lang w:val="en-GB"/>
        </w:rPr>
        <w:t xml:space="preserve">the </w:t>
      </w:r>
      <w:r w:rsidR="003F4FAF">
        <w:rPr>
          <w:rFonts w:ascii="Century Gothic" w:hAnsi="Century Gothic"/>
          <w:lang w:val="en-GB"/>
        </w:rPr>
        <w:t xml:space="preserve">proposed </w:t>
      </w:r>
      <w:r w:rsidR="00713AEC">
        <w:rPr>
          <w:rFonts w:ascii="Century Gothic" w:hAnsi="Century Gothic"/>
          <w:lang w:val="en-GB"/>
        </w:rPr>
        <w:t xml:space="preserve">objectives, structure and </w:t>
      </w:r>
      <w:r w:rsidR="003F4FAF">
        <w:rPr>
          <w:rFonts w:ascii="Century Gothic" w:hAnsi="Century Gothic"/>
          <w:lang w:val="en-GB"/>
        </w:rPr>
        <w:t xml:space="preserve">actions of the </w:t>
      </w:r>
      <w:r w:rsidR="00DD376A" w:rsidRPr="00D31BFC">
        <w:rPr>
          <w:rFonts w:ascii="Century Gothic" w:hAnsi="Century Gothic"/>
          <w:lang w:val="en-GB"/>
        </w:rPr>
        <w:t>WHO SPECS 2030 initiative</w:t>
      </w:r>
      <w:r w:rsidR="00617625">
        <w:rPr>
          <w:rFonts w:ascii="Century Gothic" w:hAnsi="Century Gothic"/>
          <w:lang w:val="en-GB"/>
        </w:rPr>
        <w:t>;</w:t>
      </w:r>
    </w:p>
    <w:p w14:paraId="2F58BEF5" w14:textId="4FA43E79" w:rsidR="00CA326F" w:rsidRPr="00617625" w:rsidRDefault="00D41C3B" w:rsidP="008A419B">
      <w:pPr>
        <w:pStyle w:val="ListParagraph"/>
        <w:numPr>
          <w:ilvl w:val="0"/>
          <w:numId w:val="25"/>
        </w:numPr>
        <w:spacing w:after="120" w:line="276" w:lineRule="auto"/>
        <w:rPr>
          <w:rFonts w:ascii="Century Gothic" w:hAnsi="Century Gothic"/>
          <w:bCs/>
          <w:lang w:val="en-GB"/>
        </w:rPr>
      </w:pPr>
      <w:r w:rsidRPr="00D31BFC">
        <w:rPr>
          <w:rFonts w:ascii="Century Gothic" w:hAnsi="Century Gothic"/>
          <w:bCs/>
          <w:lang w:val="en-GB"/>
        </w:rPr>
        <w:t xml:space="preserve">To </w:t>
      </w:r>
      <w:r w:rsidR="00B4791B" w:rsidRPr="00D31BFC">
        <w:rPr>
          <w:rFonts w:ascii="Century Gothic" w:hAnsi="Century Gothic"/>
          <w:bCs/>
          <w:lang w:val="en-GB"/>
        </w:rPr>
        <w:t xml:space="preserve">discuss and </w:t>
      </w:r>
      <w:r w:rsidRPr="00D31BFC">
        <w:rPr>
          <w:rFonts w:ascii="Century Gothic" w:hAnsi="Century Gothic"/>
          <w:bCs/>
          <w:lang w:val="en-GB"/>
        </w:rPr>
        <w:t>outline the proposed next steps</w:t>
      </w:r>
      <w:r w:rsidR="00713AEC">
        <w:rPr>
          <w:rFonts w:ascii="Century Gothic" w:hAnsi="Century Gothic"/>
          <w:bCs/>
          <w:lang w:val="en-GB"/>
        </w:rPr>
        <w:t xml:space="preserve"> for the </w:t>
      </w:r>
      <w:r w:rsidR="00713AEC" w:rsidRPr="00713AEC">
        <w:rPr>
          <w:rFonts w:ascii="Century Gothic" w:hAnsi="Century Gothic"/>
          <w:bCs/>
          <w:lang w:val="en-GB"/>
        </w:rPr>
        <w:t>WHO SPECS 2030 initiative</w:t>
      </w:r>
      <w:r w:rsidR="00637C94">
        <w:rPr>
          <w:rFonts w:ascii="Century Gothic" w:hAnsi="Century Gothic"/>
          <w:bCs/>
          <w:lang w:val="en-GB"/>
        </w:rPr>
        <w:t xml:space="preserve">. </w:t>
      </w:r>
    </w:p>
    <w:bookmarkEnd w:id="3"/>
    <w:p w14:paraId="39C6ACCB" w14:textId="77777777" w:rsidR="00BE1A80" w:rsidRPr="00A74212" w:rsidRDefault="00BE1A80" w:rsidP="008A419B">
      <w:pPr>
        <w:spacing w:line="276" w:lineRule="auto"/>
        <w:rPr>
          <w:rFonts w:ascii="Century Gothic" w:hAnsi="Century Gothic"/>
          <w:b/>
          <w:bCs/>
          <w:lang w:val="en-GB"/>
        </w:rPr>
      </w:pPr>
    </w:p>
    <w:p w14:paraId="17BA3488" w14:textId="77777777" w:rsidR="00CA326F" w:rsidRPr="009C620C" w:rsidRDefault="00CA326F" w:rsidP="008A419B">
      <w:pPr>
        <w:spacing w:line="276" w:lineRule="auto"/>
        <w:rPr>
          <w:rFonts w:ascii="Century Gothic" w:hAnsi="Century Gothic"/>
          <w:b/>
          <w:bCs/>
          <w:lang w:val="en-GB"/>
        </w:rPr>
      </w:pPr>
      <w:r w:rsidRPr="009C620C">
        <w:rPr>
          <w:rFonts w:ascii="Century Gothic" w:hAnsi="Century Gothic"/>
          <w:b/>
          <w:bCs/>
          <w:lang w:val="en-GB"/>
        </w:rPr>
        <w:t>METHODS</w:t>
      </w:r>
    </w:p>
    <w:p w14:paraId="363FCAC0" w14:textId="12BFE504" w:rsidR="00443F96" w:rsidRPr="00767A32" w:rsidRDefault="00841B35" w:rsidP="008A419B">
      <w:pPr>
        <w:pStyle w:val="ListParagraph"/>
        <w:numPr>
          <w:ilvl w:val="0"/>
          <w:numId w:val="24"/>
        </w:numPr>
        <w:spacing w:line="276" w:lineRule="auto"/>
        <w:rPr>
          <w:rFonts w:ascii="Century Gothic" w:hAnsi="Century Gothic"/>
          <w:lang w:val="en-GB"/>
        </w:rPr>
      </w:pPr>
      <w:r w:rsidRPr="009C620C">
        <w:rPr>
          <w:rFonts w:ascii="Century Gothic" w:hAnsi="Century Gothic"/>
          <w:lang w:val="en-GB"/>
        </w:rPr>
        <w:t xml:space="preserve">Presentations </w:t>
      </w:r>
      <w:r w:rsidR="00C56988" w:rsidRPr="009C620C">
        <w:rPr>
          <w:rFonts w:ascii="Century Gothic" w:hAnsi="Century Gothic"/>
          <w:lang w:val="en-GB"/>
        </w:rPr>
        <w:t>by</w:t>
      </w:r>
      <w:r w:rsidRPr="009C620C">
        <w:rPr>
          <w:rFonts w:ascii="Century Gothic" w:hAnsi="Century Gothic"/>
          <w:lang w:val="en-GB"/>
        </w:rPr>
        <w:t xml:space="preserve"> WHO outlining the </w:t>
      </w:r>
      <w:r w:rsidR="00CC199A">
        <w:rPr>
          <w:rFonts w:ascii="Century Gothic" w:hAnsi="Century Gothic"/>
          <w:lang w:val="en-GB"/>
        </w:rPr>
        <w:t xml:space="preserve">proposed </w:t>
      </w:r>
      <w:r w:rsidR="00222781">
        <w:rPr>
          <w:rFonts w:ascii="Century Gothic" w:hAnsi="Century Gothic"/>
          <w:lang w:val="en-GB"/>
        </w:rPr>
        <w:t xml:space="preserve">details of the </w:t>
      </w:r>
      <w:r w:rsidRPr="009C620C">
        <w:rPr>
          <w:rFonts w:ascii="Century Gothic" w:hAnsi="Century Gothic"/>
          <w:lang w:val="en-GB"/>
        </w:rPr>
        <w:t xml:space="preserve">WHO </w:t>
      </w:r>
      <w:r w:rsidR="00CC199A">
        <w:rPr>
          <w:rFonts w:ascii="Century Gothic" w:hAnsi="Century Gothic"/>
          <w:lang w:val="en-GB"/>
        </w:rPr>
        <w:t>SPECS 2030 initiative</w:t>
      </w:r>
      <w:r w:rsidR="0036084C">
        <w:rPr>
          <w:rFonts w:ascii="Century Gothic" w:hAnsi="Century Gothic"/>
          <w:lang w:val="en-GB"/>
        </w:rPr>
        <w:t xml:space="preserve">, including its </w:t>
      </w:r>
      <w:r w:rsidR="0036084C" w:rsidRPr="009C620C">
        <w:rPr>
          <w:rFonts w:ascii="Century Gothic" w:hAnsi="Century Gothic"/>
          <w:lang w:val="en-GB"/>
        </w:rPr>
        <w:t>objectives</w:t>
      </w:r>
      <w:r w:rsidR="0036084C">
        <w:rPr>
          <w:rFonts w:ascii="Century Gothic" w:hAnsi="Century Gothic"/>
          <w:lang w:val="en-GB"/>
        </w:rPr>
        <w:t>,</w:t>
      </w:r>
      <w:r w:rsidR="0036084C" w:rsidRPr="009C620C">
        <w:rPr>
          <w:rFonts w:ascii="Century Gothic" w:hAnsi="Century Gothic"/>
          <w:lang w:val="en-GB"/>
        </w:rPr>
        <w:t xml:space="preserve"> </w:t>
      </w:r>
      <w:r w:rsidR="0036084C" w:rsidRPr="00767A32">
        <w:rPr>
          <w:rFonts w:ascii="Century Gothic" w:hAnsi="Century Gothic"/>
          <w:lang w:val="en-GB"/>
        </w:rPr>
        <w:t>governance structure</w:t>
      </w:r>
      <w:r w:rsidR="0036084C">
        <w:rPr>
          <w:rFonts w:ascii="Century Gothic" w:hAnsi="Century Gothic"/>
          <w:lang w:val="en-GB"/>
        </w:rPr>
        <w:t xml:space="preserve">, partner engagement and </w:t>
      </w:r>
      <w:r w:rsidR="0036084C" w:rsidRPr="00767A32">
        <w:rPr>
          <w:rFonts w:ascii="Century Gothic" w:hAnsi="Century Gothic"/>
          <w:lang w:val="en-GB"/>
        </w:rPr>
        <w:t>membership</w:t>
      </w:r>
      <w:r w:rsidR="0036084C">
        <w:rPr>
          <w:rFonts w:ascii="Century Gothic" w:hAnsi="Century Gothic"/>
          <w:lang w:val="en-GB"/>
        </w:rPr>
        <w:t xml:space="preserve">, and </w:t>
      </w:r>
      <w:r w:rsidR="0036084C" w:rsidRPr="00767A32">
        <w:rPr>
          <w:rFonts w:ascii="Century Gothic" w:hAnsi="Century Gothic"/>
          <w:lang w:val="en-GB"/>
        </w:rPr>
        <w:t xml:space="preserve">the </w:t>
      </w:r>
      <w:r w:rsidR="0036084C">
        <w:rPr>
          <w:rFonts w:ascii="Century Gothic" w:hAnsi="Century Gothic"/>
          <w:lang w:val="en-GB"/>
        </w:rPr>
        <w:t>proposed workstreams</w:t>
      </w:r>
      <w:r w:rsidR="008A5AC7">
        <w:rPr>
          <w:rFonts w:ascii="Century Gothic" w:hAnsi="Century Gothic"/>
          <w:lang w:val="en-GB"/>
        </w:rPr>
        <w:t>;</w:t>
      </w:r>
    </w:p>
    <w:p w14:paraId="528F3E5D" w14:textId="75D82111" w:rsidR="005B7E51" w:rsidRPr="009C620C" w:rsidRDefault="00C56988" w:rsidP="008A419B">
      <w:pPr>
        <w:pStyle w:val="ListParagraph"/>
        <w:numPr>
          <w:ilvl w:val="0"/>
          <w:numId w:val="24"/>
        </w:numPr>
        <w:spacing w:line="276" w:lineRule="auto"/>
        <w:rPr>
          <w:rFonts w:ascii="Century Gothic" w:hAnsi="Century Gothic"/>
          <w:lang w:val="en-GB"/>
        </w:rPr>
      </w:pPr>
      <w:r w:rsidRPr="009C620C">
        <w:rPr>
          <w:rFonts w:ascii="Century Gothic" w:hAnsi="Century Gothic"/>
          <w:lang w:val="en-GB"/>
        </w:rPr>
        <w:t>Roundtable d</w:t>
      </w:r>
      <w:r w:rsidR="00946879" w:rsidRPr="009C620C">
        <w:rPr>
          <w:rFonts w:ascii="Century Gothic" w:hAnsi="Century Gothic"/>
          <w:lang w:val="en-GB"/>
        </w:rPr>
        <w:t>iscussion</w:t>
      </w:r>
      <w:r w:rsidRPr="009C620C">
        <w:rPr>
          <w:rFonts w:ascii="Century Gothic" w:hAnsi="Century Gothic"/>
          <w:lang w:val="en-GB"/>
        </w:rPr>
        <w:t>s</w:t>
      </w:r>
      <w:r w:rsidR="00303A75">
        <w:rPr>
          <w:rFonts w:ascii="Century Gothic" w:hAnsi="Century Gothic"/>
          <w:lang w:val="en-GB"/>
        </w:rPr>
        <w:t xml:space="preserve"> and feedback to WHO</w:t>
      </w:r>
      <w:r w:rsidR="00BB7AB8">
        <w:rPr>
          <w:rFonts w:ascii="Century Gothic" w:hAnsi="Century Gothic"/>
          <w:lang w:val="en-GB"/>
        </w:rPr>
        <w:t xml:space="preserve"> based on the meeting objectives.</w:t>
      </w:r>
    </w:p>
    <w:p w14:paraId="5B27324C" w14:textId="77777777" w:rsidR="005B7E51" w:rsidRPr="009C620C" w:rsidRDefault="005B7E51" w:rsidP="008A419B">
      <w:pPr>
        <w:spacing w:line="276" w:lineRule="auto"/>
        <w:rPr>
          <w:rFonts w:ascii="Century Gothic" w:hAnsi="Century Gothic"/>
          <w:b/>
          <w:bCs/>
          <w:lang w:val="en-GB"/>
        </w:rPr>
      </w:pPr>
    </w:p>
    <w:p w14:paraId="0D561834" w14:textId="77777777" w:rsidR="00CA326F" w:rsidRPr="009C620C" w:rsidRDefault="00CA326F" w:rsidP="008A419B">
      <w:pPr>
        <w:spacing w:line="276" w:lineRule="auto"/>
        <w:rPr>
          <w:rFonts w:ascii="Century Gothic" w:hAnsi="Century Gothic"/>
          <w:b/>
          <w:bCs/>
          <w:lang w:val="en-GB"/>
        </w:rPr>
      </w:pPr>
      <w:r w:rsidRPr="009C620C">
        <w:rPr>
          <w:rFonts w:ascii="Century Gothic" w:hAnsi="Century Gothic"/>
          <w:b/>
          <w:bCs/>
          <w:lang w:val="en-GB"/>
        </w:rPr>
        <w:t>DATES and VENUE</w:t>
      </w:r>
    </w:p>
    <w:p w14:paraId="3AEB4A5F" w14:textId="3A455007" w:rsidR="00CA326F" w:rsidRPr="009C620C" w:rsidRDefault="00CA326F" w:rsidP="008A419B">
      <w:pPr>
        <w:spacing w:line="276" w:lineRule="auto"/>
        <w:rPr>
          <w:rFonts w:ascii="Century Gothic" w:hAnsi="Century Gothic"/>
          <w:b/>
          <w:bCs/>
          <w:lang w:val="en-GB"/>
        </w:rPr>
      </w:pPr>
      <w:r w:rsidRPr="009C620C">
        <w:rPr>
          <w:rFonts w:ascii="Century Gothic" w:hAnsi="Century Gothic"/>
          <w:lang w:val="en-GB"/>
        </w:rPr>
        <w:t xml:space="preserve">The meeting will be held </w:t>
      </w:r>
      <w:r w:rsidR="00354087" w:rsidRPr="009C620C">
        <w:rPr>
          <w:rFonts w:ascii="Century Gothic" w:hAnsi="Century Gothic"/>
          <w:lang w:val="en-GB"/>
        </w:rPr>
        <w:t>in person</w:t>
      </w:r>
      <w:r w:rsidRPr="009C620C">
        <w:rPr>
          <w:rFonts w:ascii="Century Gothic" w:hAnsi="Century Gothic"/>
          <w:lang w:val="en-GB"/>
        </w:rPr>
        <w:t xml:space="preserve"> </w:t>
      </w:r>
      <w:r w:rsidR="00354087" w:rsidRPr="009C620C">
        <w:rPr>
          <w:rFonts w:ascii="Century Gothic" w:hAnsi="Century Gothic"/>
          <w:lang w:val="en-GB"/>
        </w:rPr>
        <w:t xml:space="preserve">at WHO </w:t>
      </w:r>
      <w:r w:rsidR="0032299E" w:rsidRPr="009C620C">
        <w:rPr>
          <w:rFonts w:ascii="Century Gothic" w:hAnsi="Century Gothic"/>
          <w:lang w:val="en-GB"/>
        </w:rPr>
        <w:t>headquarters</w:t>
      </w:r>
      <w:r w:rsidR="00354087" w:rsidRPr="009C620C">
        <w:rPr>
          <w:rFonts w:ascii="Century Gothic" w:hAnsi="Century Gothic"/>
          <w:lang w:val="en-GB"/>
        </w:rPr>
        <w:t xml:space="preserve"> in Geneva </w:t>
      </w:r>
      <w:r w:rsidRPr="009C620C">
        <w:rPr>
          <w:rFonts w:ascii="Century Gothic" w:hAnsi="Century Gothic"/>
          <w:lang w:val="en-GB"/>
        </w:rPr>
        <w:t xml:space="preserve">on the </w:t>
      </w:r>
      <w:r w:rsidR="00181480">
        <w:rPr>
          <w:rFonts w:ascii="Century Gothic" w:hAnsi="Century Gothic"/>
          <w:lang w:val="en-GB"/>
        </w:rPr>
        <w:t>11</w:t>
      </w:r>
      <w:r w:rsidR="009F320C" w:rsidRPr="009C620C">
        <w:rPr>
          <w:rFonts w:ascii="Century Gothic" w:hAnsi="Century Gothic"/>
          <w:vertAlign w:val="superscript"/>
          <w:lang w:val="en-GB"/>
        </w:rPr>
        <w:t>th</w:t>
      </w:r>
      <w:r w:rsidR="009F320C" w:rsidRPr="009C620C">
        <w:rPr>
          <w:rFonts w:ascii="Century Gothic" w:hAnsi="Century Gothic"/>
          <w:lang w:val="en-GB"/>
        </w:rPr>
        <w:t xml:space="preserve"> </w:t>
      </w:r>
      <w:r w:rsidR="00354087" w:rsidRPr="009C620C">
        <w:rPr>
          <w:rFonts w:ascii="Century Gothic" w:hAnsi="Century Gothic"/>
          <w:lang w:val="en-GB"/>
        </w:rPr>
        <w:t xml:space="preserve">and </w:t>
      </w:r>
      <w:r w:rsidR="00181480">
        <w:rPr>
          <w:rFonts w:ascii="Century Gothic" w:hAnsi="Century Gothic"/>
          <w:lang w:val="en-GB"/>
        </w:rPr>
        <w:t>12</w:t>
      </w:r>
      <w:r w:rsidR="00354087" w:rsidRPr="009C620C">
        <w:rPr>
          <w:rFonts w:ascii="Century Gothic" w:hAnsi="Century Gothic"/>
          <w:vertAlign w:val="superscript"/>
          <w:lang w:val="en-GB"/>
        </w:rPr>
        <w:t>st</w:t>
      </w:r>
      <w:r w:rsidR="00354087" w:rsidRPr="009C620C">
        <w:rPr>
          <w:rFonts w:ascii="Century Gothic" w:hAnsi="Century Gothic"/>
          <w:lang w:val="en-GB"/>
        </w:rPr>
        <w:t xml:space="preserve"> </w:t>
      </w:r>
      <w:r w:rsidR="009F320C" w:rsidRPr="009C620C">
        <w:rPr>
          <w:rFonts w:ascii="Century Gothic" w:hAnsi="Century Gothic"/>
          <w:lang w:val="en-GB"/>
        </w:rPr>
        <w:t xml:space="preserve">of </w:t>
      </w:r>
      <w:r w:rsidR="00181480">
        <w:rPr>
          <w:rFonts w:ascii="Century Gothic" w:hAnsi="Century Gothic"/>
          <w:lang w:val="en-GB"/>
        </w:rPr>
        <w:t>May</w:t>
      </w:r>
      <w:r w:rsidRPr="009C620C">
        <w:rPr>
          <w:rFonts w:ascii="Century Gothic" w:hAnsi="Century Gothic"/>
          <w:lang w:val="en-GB"/>
        </w:rPr>
        <w:t xml:space="preserve"> 202</w:t>
      </w:r>
      <w:r w:rsidR="00354087" w:rsidRPr="009C620C">
        <w:rPr>
          <w:rFonts w:ascii="Century Gothic" w:hAnsi="Century Gothic"/>
          <w:lang w:val="en-GB"/>
        </w:rPr>
        <w:t xml:space="preserve">3. </w:t>
      </w:r>
    </w:p>
    <w:p w14:paraId="6F91034A" w14:textId="77777777" w:rsidR="00CA326F" w:rsidRPr="009C620C" w:rsidRDefault="00CA326F" w:rsidP="008A419B">
      <w:pPr>
        <w:spacing w:line="276" w:lineRule="auto"/>
        <w:rPr>
          <w:rFonts w:ascii="Century Gothic" w:hAnsi="Century Gothic"/>
          <w:lang w:val="en-GB"/>
        </w:rPr>
      </w:pPr>
    </w:p>
    <w:p w14:paraId="2938137D" w14:textId="77777777" w:rsidR="00CA326F" w:rsidRPr="009C620C" w:rsidRDefault="00CA326F" w:rsidP="008A419B">
      <w:pPr>
        <w:spacing w:line="276" w:lineRule="auto"/>
        <w:rPr>
          <w:rFonts w:ascii="Century Gothic" w:hAnsi="Century Gothic"/>
          <w:b/>
          <w:bCs/>
          <w:lang w:val="en-GB"/>
        </w:rPr>
      </w:pPr>
      <w:r w:rsidRPr="009C620C">
        <w:rPr>
          <w:rFonts w:ascii="Century Gothic" w:hAnsi="Century Gothic"/>
          <w:b/>
          <w:bCs/>
          <w:lang w:val="en-GB"/>
        </w:rPr>
        <w:t>LANGUAGE</w:t>
      </w:r>
    </w:p>
    <w:p w14:paraId="67506193" w14:textId="77777777" w:rsidR="00CA326F" w:rsidRPr="009C620C" w:rsidRDefault="00CA326F" w:rsidP="008A419B">
      <w:pPr>
        <w:spacing w:after="120" w:line="276" w:lineRule="auto"/>
        <w:rPr>
          <w:rFonts w:ascii="Century Gothic" w:hAnsi="Century Gothic"/>
          <w:lang w:val="en-GB"/>
        </w:rPr>
      </w:pPr>
      <w:r w:rsidRPr="009C620C">
        <w:rPr>
          <w:rFonts w:ascii="Century Gothic" w:hAnsi="Century Gothic"/>
          <w:lang w:val="en-GB"/>
        </w:rPr>
        <w:t>The meeting will be conducted in English.</w:t>
      </w:r>
    </w:p>
    <w:p w14:paraId="201235E0" w14:textId="77777777" w:rsidR="009E108E" w:rsidRDefault="009E108E" w:rsidP="008A419B">
      <w:pPr>
        <w:tabs>
          <w:tab w:val="left" w:pos="340"/>
        </w:tabs>
        <w:suppressAutoHyphens/>
        <w:autoSpaceDE w:val="0"/>
        <w:autoSpaceDN w:val="0"/>
        <w:spacing w:after="140" w:line="276" w:lineRule="auto"/>
        <w:jc w:val="both"/>
        <w:textAlignment w:val="center"/>
        <w:rPr>
          <w:rFonts w:ascii="Century Gothic" w:hAnsi="Century Gothic" w:cstheme="minorHAnsi"/>
          <w:b/>
          <w:bCs/>
        </w:rPr>
      </w:pPr>
    </w:p>
    <w:p w14:paraId="068BC257" w14:textId="77777777" w:rsidR="004E1D3F" w:rsidRDefault="004E1D3F" w:rsidP="008A419B">
      <w:pPr>
        <w:tabs>
          <w:tab w:val="left" w:pos="340"/>
        </w:tabs>
        <w:suppressAutoHyphens/>
        <w:autoSpaceDE w:val="0"/>
        <w:autoSpaceDN w:val="0"/>
        <w:spacing w:after="140" w:line="276" w:lineRule="auto"/>
        <w:jc w:val="both"/>
        <w:textAlignment w:val="center"/>
        <w:rPr>
          <w:rFonts w:ascii="Century Gothic" w:hAnsi="Century Gothic" w:cstheme="minorHAnsi"/>
          <w:b/>
          <w:bCs/>
        </w:rPr>
      </w:pPr>
    </w:p>
    <w:p w14:paraId="72955F07" w14:textId="77777777" w:rsidR="004E1D3F" w:rsidRDefault="004E1D3F" w:rsidP="008A419B">
      <w:pPr>
        <w:tabs>
          <w:tab w:val="left" w:pos="340"/>
        </w:tabs>
        <w:suppressAutoHyphens/>
        <w:autoSpaceDE w:val="0"/>
        <w:autoSpaceDN w:val="0"/>
        <w:spacing w:after="140" w:line="276" w:lineRule="auto"/>
        <w:jc w:val="both"/>
        <w:textAlignment w:val="center"/>
        <w:rPr>
          <w:rFonts w:ascii="Century Gothic" w:hAnsi="Century Gothic" w:cstheme="minorHAnsi"/>
          <w:b/>
          <w:bCs/>
        </w:rPr>
      </w:pPr>
    </w:p>
    <w:p w14:paraId="22B8D81B" w14:textId="77777777" w:rsidR="004E1D3F" w:rsidRDefault="004E1D3F" w:rsidP="008A419B">
      <w:pPr>
        <w:tabs>
          <w:tab w:val="left" w:pos="340"/>
        </w:tabs>
        <w:suppressAutoHyphens/>
        <w:autoSpaceDE w:val="0"/>
        <w:autoSpaceDN w:val="0"/>
        <w:spacing w:after="140" w:line="276" w:lineRule="auto"/>
        <w:jc w:val="both"/>
        <w:textAlignment w:val="center"/>
        <w:rPr>
          <w:rFonts w:ascii="Century Gothic" w:hAnsi="Century Gothic" w:cstheme="minorHAnsi"/>
          <w:b/>
          <w:bCs/>
        </w:rPr>
      </w:pPr>
    </w:p>
    <w:p w14:paraId="4D5783FF" w14:textId="54C2EF42" w:rsidR="00A16C16" w:rsidRDefault="00A16C16" w:rsidP="008A419B">
      <w:pPr>
        <w:tabs>
          <w:tab w:val="left" w:pos="1920"/>
        </w:tabs>
        <w:spacing w:line="276" w:lineRule="auto"/>
        <w:rPr>
          <w:rFonts w:ascii="Century Gothic" w:hAnsi="Century Gothic"/>
          <w:sz w:val="22"/>
          <w:szCs w:val="22"/>
          <w:lang w:val="en-GB"/>
        </w:rPr>
      </w:pPr>
    </w:p>
    <w:p w14:paraId="36C5DF9E" w14:textId="77777777" w:rsidR="00785A4B" w:rsidRDefault="00785A4B" w:rsidP="008A419B">
      <w:pPr>
        <w:spacing w:line="276" w:lineRule="auto"/>
        <w:rPr>
          <w:rFonts w:ascii="Century Gothic" w:hAnsi="Century Gothic"/>
          <w:b/>
          <w:bCs/>
          <w:lang w:val="en-GB"/>
        </w:rPr>
      </w:pPr>
      <w:r>
        <w:rPr>
          <w:rFonts w:ascii="Century Gothic" w:hAnsi="Century Gothic"/>
          <w:b/>
          <w:bCs/>
          <w:lang w:val="en-GB"/>
        </w:rPr>
        <w:br w:type="page"/>
      </w:r>
    </w:p>
    <w:p w14:paraId="13924D1A" w14:textId="623F5BD6" w:rsidR="00994320" w:rsidRPr="000C24B2" w:rsidRDefault="00994320" w:rsidP="000C24B2">
      <w:pPr>
        <w:tabs>
          <w:tab w:val="left" w:pos="1920"/>
        </w:tabs>
        <w:rPr>
          <w:rFonts w:ascii="Century Gothic" w:hAnsi="Century Gothic"/>
          <w:b/>
          <w:bCs/>
          <w:lang w:val="en-GB"/>
        </w:rPr>
      </w:pPr>
      <w:r w:rsidRPr="000C24B2">
        <w:rPr>
          <w:rFonts w:ascii="Century Gothic" w:hAnsi="Century Gothic"/>
          <w:b/>
          <w:bCs/>
          <w:lang w:val="en-GB"/>
        </w:rPr>
        <w:lastRenderedPageBreak/>
        <w:t>REFERENCES</w:t>
      </w:r>
    </w:p>
    <w:p w14:paraId="1ADE62AC" w14:textId="77777777" w:rsidR="00785A4B" w:rsidRPr="000C24B2" w:rsidRDefault="00785A4B" w:rsidP="000C24B2">
      <w:pPr>
        <w:tabs>
          <w:tab w:val="left" w:pos="1920"/>
        </w:tabs>
        <w:rPr>
          <w:rFonts w:ascii="Century Gothic" w:hAnsi="Century Gothic"/>
          <w:b/>
          <w:bCs/>
          <w:sz w:val="22"/>
          <w:szCs w:val="22"/>
          <w:lang w:val="en-GB"/>
        </w:rPr>
      </w:pPr>
    </w:p>
    <w:sdt>
      <w:sdtPr>
        <w:rPr>
          <w:rFonts w:ascii="Century Gothic" w:hAnsi="Century Gothic"/>
          <w:sz w:val="22"/>
          <w:szCs w:val="22"/>
        </w:rPr>
        <w:tag w:val="MENDELEY_BIBLIOGRAPHY"/>
        <w:id w:val="1776444025"/>
        <w:placeholder>
          <w:docPart w:val="2035170DE24149F1A955F1E1DBE591F8"/>
        </w:placeholder>
      </w:sdtPr>
      <w:sdtEndPr>
        <w:rPr>
          <w:sz w:val="24"/>
          <w:szCs w:val="24"/>
        </w:rPr>
      </w:sdtEndPr>
      <w:sdtContent>
        <w:p w14:paraId="64343660" w14:textId="2A6635DF" w:rsidR="00A07850" w:rsidRPr="000A6C4A" w:rsidRDefault="00A07850" w:rsidP="000A6C4A">
          <w:pPr>
            <w:autoSpaceDE w:val="0"/>
            <w:autoSpaceDN w:val="0"/>
            <w:spacing w:after="160"/>
            <w:ind w:left="567" w:hanging="567"/>
            <w:rPr>
              <w:rFonts w:ascii="Century Gothic" w:eastAsia="Times New Roman" w:hAnsi="Century Gothic"/>
            </w:rPr>
          </w:pPr>
          <w:r w:rsidRPr="000C24B2">
            <w:rPr>
              <w:rFonts w:ascii="Century Gothic" w:eastAsia="Times New Roman" w:hAnsi="Century Gothic"/>
              <w:sz w:val="22"/>
              <w:szCs w:val="22"/>
            </w:rPr>
            <w:t>1.</w:t>
          </w:r>
          <w:r w:rsidRPr="000C24B2">
            <w:rPr>
              <w:rFonts w:ascii="Century Gothic" w:eastAsia="Times New Roman" w:hAnsi="Century Gothic"/>
              <w:sz w:val="22"/>
              <w:szCs w:val="22"/>
            </w:rPr>
            <w:tab/>
            <w:t xml:space="preserve">World Health Organization. Report of the 2030 targets on effective coverage of eye care [Internet]. Geneva: World Health Organization; 2022 [cited 2022 Oct 22]. </w:t>
          </w:r>
          <w:r w:rsidRPr="000A6C4A">
            <w:rPr>
              <w:rFonts w:ascii="Century Gothic" w:eastAsia="Times New Roman" w:hAnsi="Century Gothic"/>
            </w:rPr>
            <w:t xml:space="preserve">Available from: </w:t>
          </w:r>
          <w:hyperlink r:id="rId9" w:history="1">
            <w:r w:rsidRPr="000A6C4A">
              <w:rPr>
                <w:rStyle w:val="Hyperlink"/>
                <w:rFonts w:ascii="Century Gothic" w:eastAsia="Times New Roman" w:hAnsi="Century Gothic"/>
              </w:rPr>
              <w:t>https://apps.who.int/iris/handle/10665/363158</w:t>
            </w:r>
          </w:hyperlink>
        </w:p>
        <w:p w14:paraId="4216EF65" w14:textId="6484F815" w:rsidR="00A07850" w:rsidRPr="000A6C4A" w:rsidRDefault="00A07850" w:rsidP="000A6C4A">
          <w:pPr>
            <w:autoSpaceDE w:val="0"/>
            <w:autoSpaceDN w:val="0"/>
            <w:spacing w:after="160"/>
            <w:ind w:left="567" w:hanging="567"/>
            <w:rPr>
              <w:rFonts w:ascii="Century Gothic" w:eastAsia="Times New Roman" w:hAnsi="Century Gothic"/>
            </w:rPr>
          </w:pPr>
          <w:r w:rsidRPr="000A6C4A">
            <w:rPr>
              <w:rFonts w:ascii="Century Gothic" w:eastAsia="Times New Roman" w:hAnsi="Century Gothic"/>
            </w:rPr>
            <w:t>2.</w:t>
          </w:r>
          <w:r w:rsidRPr="000A6C4A">
            <w:rPr>
              <w:rFonts w:ascii="Century Gothic" w:eastAsia="Times New Roman" w:hAnsi="Century Gothic"/>
            </w:rPr>
            <w:tab/>
            <w:t xml:space="preserve">World Health Organization. World report on vision [Internet]. Geneva: World Health Organization; 2019 [cited 2022 Aug 12]. Available from: </w:t>
          </w:r>
          <w:hyperlink r:id="rId10" w:history="1">
            <w:r w:rsidRPr="000A6C4A">
              <w:rPr>
                <w:rStyle w:val="Hyperlink"/>
                <w:rFonts w:ascii="Century Gothic" w:eastAsia="Times New Roman" w:hAnsi="Century Gothic"/>
              </w:rPr>
              <w:t>https://apps.who.int/iris/handle/10665/328717</w:t>
            </w:r>
          </w:hyperlink>
        </w:p>
        <w:p w14:paraId="04EACC76" w14:textId="77777777" w:rsidR="00A07850" w:rsidRPr="000A6C4A" w:rsidRDefault="00A07850" w:rsidP="000A6C4A">
          <w:pPr>
            <w:autoSpaceDE w:val="0"/>
            <w:autoSpaceDN w:val="0"/>
            <w:spacing w:after="160"/>
            <w:ind w:left="567" w:hanging="567"/>
            <w:rPr>
              <w:rFonts w:ascii="Century Gothic" w:eastAsia="Times New Roman" w:hAnsi="Century Gothic"/>
            </w:rPr>
          </w:pPr>
          <w:r w:rsidRPr="000A6C4A">
            <w:rPr>
              <w:rFonts w:ascii="Century Gothic" w:eastAsia="Times New Roman" w:hAnsi="Century Gothic"/>
            </w:rPr>
            <w:t>3.</w:t>
          </w:r>
          <w:r w:rsidRPr="000A6C4A">
            <w:rPr>
              <w:rFonts w:ascii="Century Gothic" w:eastAsia="Times New Roman" w:hAnsi="Century Gothic"/>
            </w:rPr>
            <w:tab/>
            <w:t xml:space="preserve">Lamoureux E, Wang J, Aung T, Saw S, Wong T. Myopia and Quality of Life: The Singapore Malay Eye Study (SiMES). Ophthalmology and Vision Science. 2008 May 14;49(12):4469. </w:t>
          </w:r>
        </w:p>
        <w:p w14:paraId="3EB28B61" w14:textId="77777777" w:rsidR="00A07850" w:rsidRPr="000A6C4A" w:rsidRDefault="00A07850" w:rsidP="000A6C4A">
          <w:pPr>
            <w:autoSpaceDE w:val="0"/>
            <w:autoSpaceDN w:val="0"/>
            <w:spacing w:after="160"/>
            <w:ind w:left="567" w:hanging="567"/>
            <w:rPr>
              <w:rFonts w:ascii="Century Gothic" w:eastAsia="Times New Roman" w:hAnsi="Century Gothic"/>
            </w:rPr>
          </w:pPr>
          <w:r w:rsidRPr="000A6C4A">
            <w:rPr>
              <w:rFonts w:ascii="Century Gothic" w:eastAsia="Times New Roman" w:hAnsi="Century Gothic"/>
            </w:rPr>
            <w:t>4.</w:t>
          </w:r>
          <w:r w:rsidRPr="000A6C4A">
            <w:rPr>
              <w:rFonts w:ascii="Century Gothic" w:eastAsia="Times New Roman" w:hAnsi="Century Gothic"/>
            </w:rPr>
            <w:tab/>
            <w:t xml:space="preserve">Rose K, Harper R, Tromans C, Waterman C, Goldberg D, Haggerty C, et al. Quality of life in myopia. Br J Ophthalmol. 2000;84(9):1031. </w:t>
          </w:r>
        </w:p>
        <w:p w14:paraId="6299F123" w14:textId="77777777" w:rsidR="00A07850" w:rsidRPr="000A6C4A" w:rsidRDefault="00A07850" w:rsidP="000A6C4A">
          <w:pPr>
            <w:autoSpaceDE w:val="0"/>
            <w:autoSpaceDN w:val="0"/>
            <w:spacing w:after="160"/>
            <w:ind w:left="567" w:hanging="567"/>
            <w:rPr>
              <w:rFonts w:ascii="Century Gothic" w:eastAsia="Times New Roman" w:hAnsi="Century Gothic"/>
            </w:rPr>
          </w:pPr>
          <w:r w:rsidRPr="000A6C4A">
            <w:rPr>
              <w:rFonts w:ascii="Century Gothic" w:eastAsia="Times New Roman" w:hAnsi="Century Gothic"/>
            </w:rPr>
            <w:t>5.</w:t>
          </w:r>
          <w:r w:rsidRPr="000A6C4A">
            <w:rPr>
              <w:rFonts w:ascii="Century Gothic" w:eastAsia="Times New Roman" w:hAnsi="Century Gothic"/>
            </w:rPr>
            <w:tab/>
            <w:t xml:space="preserve">Ma Y, Congdon N, Shi Y, Hogg R, Medina A, Boswell M, et al. Effect of a Local Vision Care Center on Eyeglasses Use and School Performance in Rural China: A Cluster Randomized Clinical Trial. JAMA Ophthalmol. 2018 Jul 1;136(7):731–7. </w:t>
          </w:r>
        </w:p>
        <w:p w14:paraId="46C4B0F1" w14:textId="77777777" w:rsidR="00A07850" w:rsidRPr="000A6C4A" w:rsidRDefault="00A07850" w:rsidP="000A6C4A">
          <w:pPr>
            <w:autoSpaceDE w:val="0"/>
            <w:autoSpaceDN w:val="0"/>
            <w:spacing w:after="160"/>
            <w:ind w:left="567" w:hanging="567"/>
            <w:rPr>
              <w:rFonts w:ascii="Century Gothic" w:eastAsia="Times New Roman" w:hAnsi="Century Gothic"/>
            </w:rPr>
          </w:pPr>
          <w:r w:rsidRPr="000A6C4A">
            <w:rPr>
              <w:rFonts w:ascii="Century Gothic" w:eastAsia="Times New Roman" w:hAnsi="Century Gothic"/>
            </w:rPr>
            <w:t>6.</w:t>
          </w:r>
          <w:r w:rsidRPr="000A6C4A">
            <w:rPr>
              <w:rFonts w:ascii="Century Gothic" w:eastAsia="Times New Roman" w:hAnsi="Century Gothic"/>
            </w:rPr>
            <w:tab/>
            <w:t xml:space="preserve">Nie J, Pang X, Wang L, Rozelle S, Sylvia S. Seeing Is Believing: Experimental Evidence on the Impact of Eyeglasses on Academic Performance, Aspirations, and Dropout among Junior High School Students in Rural China. Econ Dev Cult Change. 2019 Dec 12;68(2):335–55. </w:t>
          </w:r>
        </w:p>
        <w:p w14:paraId="02C4F69B" w14:textId="4C123CF4" w:rsidR="00A07850" w:rsidRPr="000A6C4A" w:rsidRDefault="00A07850" w:rsidP="000A6C4A">
          <w:pPr>
            <w:autoSpaceDE w:val="0"/>
            <w:autoSpaceDN w:val="0"/>
            <w:spacing w:after="160"/>
            <w:ind w:left="567" w:hanging="567"/>
            <w:rPr>
              <w:rFonts w:ascii="Century Gothic" w:eastAsia="Times New Roman" w:hAnsi="Century Gothic"/>
            </w:rPr>
          </w:pPr>
          <w:r w:rsidRPr="000A6C4A">
            <w:rPr>
              <w:rFonts w:ascii="Century Gothic" w:eastAsia="Times New Roman" w:hAnsi="Century Gothic"/>
            </w:rPr>
            <w:t>7.</w:t>
          </w:r>
          <w:r w:rsidRPr="000A6C4A">
            <w:rPr>
              <w:rFonts w:ascii="Century Gothic" w:eastAsia="Times New Roman" w:hAnsi="Century Gothic"/>
            </w:rPr>
            <w:tab/>
            <w:t xml:space="preserve">World Health Organization, USAID, and International Disability Alliance. Priority assistive products list: improving access to assistive technology for everyone, everywhere [Internet]. 2016 [cited 2022 Aug 12]. Available from: </w:t>
          </w:r>
          <w:hyperlink r:id="rId11" w:history="1">
            <w:r w:rsidRPr="000A6C4A">
              <w:rPr>
                <w:rStyle w:val="Hyperlink"/>
                <w:rFonts w:ascii="Century Gothic" w:eastAsia="Times New Roman" w:hAnsi="Century Gothic"/>
              </w:rPr>
              <w:t>https://apps.who.int/iris/handle/10665/207694</w:t>
            </w:r>
          </w:hyperlink>
        </w:p>
        <w:p w14:paraId="59353EBF" w14:textId="13C8CE06" w:rsidR="00A07850" w:rsidRPr="000A6C4A" w:rsidRDefault="00A07850" w:rsidP="000A6C4A">
          <w:pPr>
            <w:autoSpaceDE w:val="0"/>
            <w:autoSpaceDN w:val="0"/>
            <w:spacing w:after="160"/>
            <w:ind w:left="567" w:hanging="567"/>
            <w:rPr>
              <w:rFonts w:ascii="Century Gothic" w:eastAsia="Times New Roman" w:hAnsi="Century Gothic"/>
            </w:rPr>
          </w:pPr>
          <w:r w:rsidRPr="000A6C4A">
            <w:rPr>
              <w:rFonts w:ascii="Century Gothic" w:eastAsia="Times New Roman" w:hAnsi="Century Gothic"/>
            </w:rPr>
            <w:t>8.</w:t>
          </w:r>
          <w:r w:rsidRPr="000A6C4A">
            <w:rPr>
              <w:rFonts w:ascii="Century Gothic" w:eastAsia="Times New Roman" w:hAnsi="Century Gothic"/>
            </w:rPr>
            <w:tab/>
            <w:t>ATscale: global partnership for assistive technology. A market landscape and strategic approach to increasing access to eyeglasses in low-and middle-income countries. Product narrative: Eyeglasses. [Internet]. 2020 [cited 2022 Mar 17]. Available from:</w:t>
          </w:r>
          <w:r w:rsidR="00785A4B" w:rsidRPr="000A6C4A">
            <w:rPr>
              <w:rFonts w:ascii="Century Gothic" w:eastAsia="Times New Roman" w:hAnsi="Century Gothic"/>
            </w:rPr>
            <w:t xml:space="preserve"> </w:t>
          </w:r>
          <w:hyperlink r:id="rId12" w:history="1">
            <w:r w:rsidRPr="000A6C4A">
              <w:rPr>
                <w:rStyle w:val="Hyperlink"/>
                <w:rFonts w:ascii="Century Gothic" w:eastAsia="Times New Roman" w:hAnsi="Century Gothic"/>
              </w:rPr>
              <w:t>https://at2030.org/static/at2030_core/outputs/Product_Narrative-Eyeglasses_final.pdf</w:t>
            </w:r>
          </w:hyperlink>
        </w:p>
        <w:p w14:paraId="6AB50632" w14:textId="77777777" w:rsidR="00A07850" w:rsidRPr="000A6C4A" w:rsidRDefault="00A07850" w:rsidP="000A6C4A">
          <w:pPr>
            <w:autoSpaceDE w:val="0"/>
            <w:autoSpaceDN w:val="0"/>
            <w:spacing w:after="160"/>
            <w:ind w:left="567" w:hanging="567"/>
            <w:rPr>
              <w:rFonts w:ascii="Century Gothic" w:eastAsia="Times New Roman" w:hAnsi="Century Gothic"/>
            </w:rPr>
          </w:pPr>
          <w:r w:rsidRPr="000A6C4A">
            <w:rPr>
              <w:rFonts w:ascii="Century Gothic" w:eastAsia="Times New Roman" w:hAnsi="Century Gothic"/>
            </w:rPr>
            <w:t>9.</w:t>
          </w:r>
          <w:r w:rsidRPr="000A6C4A">
            <w:rPr>
              <w:rFonts w:ascii="Century Gothic" w:eastAsia="Times New Roman" w:hAnsi="Century Gothic"/>
            </w:rPr>
            <w:tab/>
            <w:t xml:space="preserve">Smith T, Frick K, Holden B, Fricke T, Naidoo K. Potential lost productivity resulting from the global burden of uncorrected refractive error. Bull World Health Organ. 2009;87(6):431. </w:t>
          </w:r>
        </w:p>
        <w:p w14:paraId="3DBB90B8" w14:textId="77777777" w:rsidR="00A07850" w:rsidRPr="000A6C4A" w:rsidRDefault="00A07850" w:rsidP="000A6C4A">
          <w:pPr>
            <w:autoSpaceDE w:val="0"/>
            <w:autoSpaceDN w:val="0"/>
            <w:spacing w:after="160"/>
            <w:ind w:left="567" w:hanging="567"/>
            <w:rPr>
              <w:rFonts w:ascii="Century Gothic" w:eastAsia="Times New Roman" w:hAnsi="Century Gothic"/>
            </w:rPr>
          </w:pPr>
          <w:r w:rsidRPr="000A6C4A">
            <w:rPr>
              <w:rFonts w:ascii="Century Gothic" w:eastAsia="Times New Roman" w:hAnsi="Century Gothic"/>
            </w:rPr>
            <w:t>10.</w:t>
          </w:r>
          <w:r w:rsidRPr="000A6C4A">
            <w:rPr>
              <w:rFonts w:ascii="Century Gothic" w:eastAsia="Times New Roman" w:hAnsi="Century Gothic"/>
            </w:rPr>
            <w:tab/>
            <w:t xml:space="preserve">Naidoo KS, Fricke TR, Frick KD, Jong M, Naduvilath TJ, Resnikoff S, et al. Potential lost productivity resulting from the global burden of myopia: systematic review, meta-analysis, and modeling. Ophthalmology. 2019 Mar 1;126(3):338–46. </w:t>
          </w:r>
        </w:p>
        <w:p w14:paraId="1F0A2B84" w14:textId="1DCFEBB5" w:rsidR="00A07850" w:rsidRPr="000A6C4A" w:rsidRDefault="00A07850" w:rsidP="000A6C4A">
          <w:pPr>
            <w:autoSpaceDE w:val="0"/>
            <w:autoSpaceDN w:val="0"/>
            <w:spacing w:after="160"/>
            <w:ind w:left="567" w:hanging="567"/>
            <w:rPr>
              <w:rFonts w:ascii="Century Gothic" w:hAnsi="Century Gothic"/>
            </w:rPr>
          </w:pPr>
          <w:r w:rsidRPr="000A6C4A">
            <w:rPr>
              <w:rFonts w:ascii="Century Gothic" w:eastAsia="Times New Roman" w:hAnsi="Century Gothic"/>
            </w:rPr>
            <w:t>11.</w:t>
          </w:r>
          <w:r w:rsidRPr="000A6C4A">
            <w:rPr>
              <w:rFonts w:ascii="Century Gothic" w:eastAsia="Times New Roman" w:hAnsi="Century Gothic"/>
            </w:rPr>
            <w:tab/>
            <w:t>Frick KD, Joy SM, Wilson DA, Naidoo KS, Holden BA. The global burden of potential productivity loss from uncorrected presbyopia. Ophthalmology. 2015 Aug 1;122(8):1706–10.</w:t>
          </w:r>
        </w:p>
      </w:sdtContent>
    </w:sdt>
    <w:sectPr w:rsidR="00A07850" w:rsidRPr="000A6C4A" w:rsidSect="00D0561C">
      <w:headerReference w:type="default" r:id="rId13"/>
      <w:footerReference w:type="default" r:id="rId14"/>
      <w:pgSz w:w="11900" w:h="16840"/>
      <w:pgMar w:top="1440" w:right="1080" w:bottom="1440" w:left="1080" w:header="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FA9899" w14:textId="77777777" w:rsidR="00207A03" w:rsidRDefault="00207A03" w:rsidP="00325043">
      <w:r>
        <w:separator/>
      </w:r>
    </w:p>
  </w:endnote>
  <w:endnote w:type="continuationSeparator" w:id="0">
    <w:p w14:paraId="373F18E0" w14:textId="77777777" w:rsidR="00207A03" w:rsidRDefault="00207A03" w:rsidP="00325043">
      <w:r>
        <w:continuationSeparator/>
      </w:r>
    </w:p>
  </w:endnote>
  <w:endnote w:type="continuationNotice" w:id="1">
    <w:p w14:paraId="3D06DFC7" w14:textId="77777777" w:rsidR="00207A03" w:rsidRDefault="00207A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Montserrat">
    <w:charset w:val="00"/>
    <w:family w:val="auto"/>
    <w:pitch w:val="variable"/>
    <w:sig w:usb0="2000020F" w:usb1="00000003" w:usb2="00000000" w:usb3="00000000" w:csb0="00000197"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BAAB6" w14:textId="317C1044" w:rsidR="00300005" w:rsidRDefault="00300005" w:rsidP="00300005">
    <w:pPr>
      <w:pStyle w:val="Footer"/>
      <w:tabs>
        <w:tab w:val="clear" w:pos="936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37177F" w14:textId="77777777" w:rsidR="00207A03" w:rsidRDefault="00207A03" w:rsidP="00325043">
      <w:r>
        <w:separator/>
      </w:r>
    </w:p>
  </w:footnote>
  <w:footnote w:type="continuationSeparator" w:id="0">
    <w:p w14:paraId="070ABB4B" w14:textId="77777777" w:rsidR="00207A03" w:rsidRDefault="00207A03" w:rsidP="00325043">
      <w:r>
        <w:continuationSeparator/>
      </w:r>
    </w:p>
  </w:footnote>
  <w:footnote w:type="continuationNotice" w:id="1">
    <w:p w14:paraId="7A32BFA6" w14:textId="77777777" w:rsidR="00207A03" w:rsidRDefault="00207A0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49CA5" w14:textId="7AE928F2" w:rsidR="00325043" w:rsidRDefault="00D0561C" w:rsidP="00300005">
    <w:pPr>
      <w:pStyle w:val="Header"/>
      <w:rPr>
        <w:noProof/>
        <w:lang w:val="en-GB" w:eastAsia="zh-CN"/>
      </w:rPr>
    </w:pPr>
    <w:r>
      <w:rPr>
        <w:noProof/>
        <w:lang w:eastAsia="zh-CN"/>
      </w:rPr>
      <w:drawing>
        <wp:anchor distT="0" distB="0" distL="114300" distR="114300" simplePos="0" relativeHeight="251658240" behindDoc="0" locked="0" layoutInCell="1" allowOverlap="1" wp14:anchorId="087E410E" wp14:editId="350C88B4">
          <wp:simplePos x="0" y="0"/>
          <wp:positionH relativeFrom="column">
            <wp:posOffset>3314065</wp:posOffset>
          </wp:positionH>
          <wp:positionV relativeFrom="paragraph">
            <wp:posOffset>-5715</wp:posOffset>
          </wp:positionV>
          <wp:extent cx="3335655" cy="111315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dentifier header 210x36mm.jpg"/>
                  <pic:cNvPicPr/>
                </pic:nvPicPr>
                <pic:blipFill rotWithShape="1">
                  <a:blip r:embed="rId1" cstate="print">
                    <a:extLst>
                      <a:ext uri="{28A0092B-C50C-407E-A947-70E740481C1C}">
                        <a14:useLocalDpi xmlns:a14="http://schemas.microsoft.com/office/drawing/2010/main" val="0"/>
                      </a:ext>
                    </a:extLst>
                  </a:blip>
                  <a:srcRect l="53257"/>
                  <a:stretch/>
                </pic:blipFill>
                <pic:spPr bwMode="auto">
                  <a:xfrm>
                    <a:off x="0" y="0"/>
                    <a:ext cx="3335655" cy="11131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FE385D5" w14:textId="3DD213A3" w:rsidR="00D0561C" w:rsidRDefault="00E907CC" w:rsidP="00300005">
    <w:pPr>
      <w:pStyle w:val="Header"/>
      <w:rPr>
        <w:noProof/>
        <w:lang w:val="en-GB" w:eastAsia="zh-CN"/>
      </w:rPr>
    </w:pPr>
    <w:r w:rsidRPr="004D26C8">
      <w:rPr>
        <w:noProof/>
        <w:lang w:eastAsia="zh-CN"/>
      </w:rPr>
      <mc:AlternateContent>
        <mc:Choice Requires="wps">
          <w:drawing>
            <wp:anchor distT="0" distB="0" distL="114300" distR="114300" simplePos="0" relativeHeight="251658241" behindDoc="0" locked="0" layoutInCell="1" allowOverlap="1" wp14:anchorId="36852ABD" wp14:editId="3F4818A0">
              <wp:simplePos x="0" y="0"/>
              <wp:positionH relativeFrom="column">
                <wp:posOffset>3853815</wp:posOffset>
              </wp:positionH>
              <wp:positionV relativeFrom="paragraph">
                <wp:posOffset>38735</wp:posOffset>
              </wp:positionV>
              <wp:extent cx="2374265" cy="1124585"/>
              <wp:effectExtent l="0" t="0" r="0" b="571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124585"/>
                      </a:xfrm>
                      <a:prstGeom prst="rect">
                        <a:avLst/>
                      </a:prstGeom>
                      <a:solidFill>
                        <a:srgbClr val="FFFFFF"/>
                      </a:solidFill>
                      <a:ln w="9525">
                        <a:noFill/>
                        <a:miter lim="800000"/>
                        <a:headEnd/>
                        <a:tailEnd/>
                      </a:ln>
                    </wps:spPr>
                    <wps:txbx>
                      <w:txbxContent>
                        <w:p w14:paraId="7FACBB6E" w14:textId="18E1814D" w:rsidR="004D26C8" w:rsidRDefault="004D26C8" w:rsidP="004D26C8">
                          <w:r>
                            <w:rPr>
                              <w:noProof/>
                              <w:lang w:eastAsia="zh-CN"/>
                            </w:rPr>
                            <w:drawing>
                              <wp:inline distT="0" distB="0" distL="0" distR="0" wp14:anchorId="6E8A3E56" wp14:editId="5F88A9A8">
                                <wp:extent cx="2259965" cy="903605"/>
                                <wp:effectExtent l="0" t="0" r="698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59965" cy="903605"/>
                                        </a:xfrm>
                                        <a:prstGeom prst="rect">
                                          <a:avLst/>
                                        </a:prstGeom>
                                        <a:noFill/>
                                        <a:ln>
                                          <a:noFill/>
                                        </a:ln>
                                      </pic:spPr>
                                    </pic:pic>
                                  </a:graphicData>
                                </a:graphic>
                              </wp:inline>
                            </w:drawing>
                          </w:r>
                        </w:p>
                      </w:txbxContent>
                    </wps:txbx>
                    <wps:bodyPr rot="0" vert="horz" wrap="none" lIns="91440" tIns="45720" rIns="91440" bIns="45720" anchor="t" anchorCtr="0">
                      <a:spAutoFit/>
                    </wps:bodyPr>
                  </wps:wsp>
                </a:graphicData>
              </a:graphic>
              <wp14:sizeRelH relativeFrom="margin">
                <wp14:pctWidth>40000</wp14:pctWidth>
              </wp14:sizeRelH>
              <wp14:sizeRelV relativeFrom="margin">
                <wp14:pctHeight>0</wp14:pctHeight>
              </wp14:sizeRelV>
            </wp:anchor>
          </w:drawing>
        </mc:Choice>
        <mc:Fallback xmlns:oel="http://schemas.microsoft.com/office/2019/extlst">
          <w:pict>
            <v:shapetype w14:anchorId="36852ABD" id="_x0000_t202" coordsize="21600,21600" o:spt="202" path="m,l,21600r21600,l21600,xe">
              <v:stroke joinstyle="miter"/>
              <v:path gradientshapeok="t" o:connecttype="rect"/>
            </v:shapetype>
            <v:shape id="Text Box 2" o:spid="_x0000_s1026" type="#_x0000_t202" style="position:absolute;margin-left:303.45pt;margin-top:3.05pt;width:186.95pt;height:88.55pt;z-index:251658241;visibility:visible;mso-wrap-style:non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H8AIQIAABwEAAAOAAAAZHJzL2Uyb0RvYy54bWysU81u2zAMvg/YOwi6L3bcuEmNOEWXLsOA&#10;7gdo9wCyLMfCJFGQ1NjZ04+S0zTbbsN0EEiR/ER+JNe3o1bkIJyXYGo6n+WUCMOhlWZf0+9Pu3cr&#10;SnxgpmUKjKjpUXh6u3n7Zj3YShTQg2qFIwhifDXYmvYh2CrLPO+FZn4GVhg0duA0C6i6fdY6NiC6&#10;VlmR59fZAK61DrjwHl/vJyPdJPyuEzx87TovAlE1xdxCul26m3hnmzWr9o7ZXvJTGuwfstBMGvz0&#10;DHXPAiPPTv4FpSV34KELMw46g66TXKQasJp5/kc1jz2zItWC5Hh7psn/P1j+5fDNEdnW9CpfUmKY&#10;xiY9iTGQ9zCSIvIzWF+h26NFxzDiM/Y51ertA/AfnhjY9szsxZ1zMPSCtZjfPEZmF6ETjo8gzfAZ&#10;WvyGPQdIQGPndCQP6SCIjn06nnsTU+H4WFwtF8V1SQlH23xeLMpVmf5g1Uu4dT58FKBJFGrqsPkJ&#10;nh0efIjpsOrFJf7mQcl2J5VKits3W+XIgeGg7NI5of/mpgwZanpTFmVCNhDj0wxpGXCQldQ1XeXx&#10;xHBWRTo+mDbJgUk1yZiJMid+IiUTOWFsRnSMpDXQHpEpB9PA4oKh0IP7ScmAw1pTg9tEifpkkOub&#10;+WIRZzspi3JZoOIuLc2lhRmOQDUNlEziNqR9SCzYO+zJTia2XvM4ZYojmEg8rUuc8Us9eb0u9eYX&#10;AAAA//8DAFBLAwQUAAYACAAAACEAFPvWKeAAAAAJAQAADwAAAGRycy9kb3ducmV2LnhtbEyPwU7D&#10;MBBE70j8g7VI3KjdgqI0jVMhJHrhQCigqjc3XpKI2I5stw79epZTue1onmZnyvVkBnZCH3pnJcxn&#10;AhjaxunethI+3p/vcmAhKqvV4CxK+MEA6+r6qlSFdsm+4WkbW0YhNhRKQhfjWHAemg6NCjM3oiXv&#10;y3mjIknfcu1VonAz8IUQGTeqt/ShUyM+ddh8b49Ggj/vd3V6rafNZ9687M+b9JDaWsrbm+lxBSzi&#10;FC8w/NWn6lBRp4M7Wh3YICET2ZJQOubAyF/mgqYcCMzvF8Crkv9fUP0CAAD//wMAUEsBAi0AFAAG&#10;AAgAAAAhALaDOJL+AAAA4QEAABMAAAAAAAAAAAAAAAAAAAAAAFtDb250ZW50X1R5cGVzXS54bWxQ&#10;SwECLQAUAAYACAAAACEAOP0h/9YAAACUAQAACwAAAAAAAAAAAAAAAAAvAQAAX3JlbHMvLnJlbHNQ&#10;SwECLQAUAAYACAAAACEALEB/ACECAAAcBAAADgAAAAAAAAAAAAAAAAAuAgAAZHJzL2Uyb0RvYy54&#10;bWxQSwECLQAUAAYACAAAACEAFPvWKeAAAAAJAQAADwAAAAAAAAAAAAAAAAB7BAAAZHJzL2Rvd25y&#10;ZXYueG1sUEsFBgAAAAAEAAQA8wAAAIgFAAAAAA==&#10;" stroked="f">
              <v:textbox style="mso-fit-shape-to-text:t">
                <w:txbxContent>
                  <w:p w14:paraId="7FACBB6E" w14:textId="18E1814D" w:rsidR="004D26C8" w:rsidRDefault="004D26C8" w:rsidP="004D26C8">
                    <w:r>
                      <w:rPr>
                        <w:noProof/>
                        <w:lang w:eastAsia="zh-CN"/>
                      </w:rPr>
                      <w:drawing>
                        <wp:inline distT="0" distB="0" distL="0" distR="0" wp14:anchorId="6E8A3E56" wp14:editId="5F88A9A8">
                          <wp:extent cx="2259965" cy="903605"/>
                          <wp:effectExtent l="0" t="0" r="698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259965" cy="903605"/>
                                  </a:xfrm>
                                  <a:prstGeom prst="rect">
                                    <a:avLst/>
                                  </a:prstGeom>
                                  <a:noFill/>
                                  <a:ln>
                                    <a:noFill/>
                                  </a:ln>
                                </pic:spPr>
                              </pic:pic>
                            </a:graphicData>
                          </a:graphic>
                        </wp:inline>
                      </w:drawing>
                    </w:r>
                  </w:p>
                </w:txbxContent>
              </v:textbox>
            </v:shape>
          </w:pict>
        </mc:Fallback>
      </mc:AlternateContent>
    </w:r>
  </w:p>
  <w:p w14:paraId="56922DE5" w14:textId="29F1D701" w:rsidR="00D0561C" w:rsidRDefault="00D0561C" w:rsidP="00300005">
    <w:pPr>
      <w:pStyle w:val="Header"/>
      <w:rPr>
        <w:noProof/>
        <w:lang w:val="en-GB" w:eastAsia="zh-CN"/>
      </w:rPr>
    </w:pPr>
  </w:p>
  <w:p w14:paraId="40F78B39" w14:textId="77777777" w:rsidR="00D0561C" w:rsidRDefault="00D0561C" w:rsidP="00300005">
    <w:pPr>
      <w:pStyle w:val="Header"/>
      <w:rPr>
        <w:noProof/>
        <w:lang w:val="en-GB" w:eastAsia="zh-CN"/>
      </w:rPr>
    </w:pPr>
  </w:p>
  <w:p w14:paraId="73A4EC29" w14:textId="77777777" w:rsidR="00D0561C" w:rsidRDefault="00D0561C" w:rsidP="00300005">
    <w:pPr>
      <w:pStyle w:val="Header"/>
      <w:rPr>
        <w:noProof/>
        <w:lang w:val="en-GB" w:eastAsia="zh-CN"/>
      </w:rPr>
    </w:pPr>
  </w:p>
  <w:p w14:paraId="1904D4A9" w14:textId="77777777" w:rsidR="00D0561C" w:rsidRDefault="00D0561C" w:rsidP="00300005">
    <w:pPr>
      <w:pStyle w:val="Header"/>
      <w:rPr>
        <w:noProof/>
        <w:lang w:val="en-GB" w:eastAsia="zh-CN"/>
      </w:rPr>
    </w:pPr>
  </w:p>
  <w:p w14:paraId="21869152" w14:textId="77777777" w:rsidR="00D0561C" w:rsidRPr="00D0561C" w:rsidRDefault="00D0561C" w:rsidP="00D0561C">
    <w:pPr>
      <w:pStyle w:val="Header"/>
      <w:tabs>
        <w:tab w:val="clear" w:pos="4680"/>
        <w:tab w:val="clear" w:pos="9360"/>
      </w:tabs>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C1D26"/>
    <w:multiLevelType w:val="hybridMultilevel"/>
    <w:tmpl w:val="F802E9F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15:restartNumberingAfterBreak="0">
    <w:nsid w:val="152C5CB9"/>
    <w:multiLevelType w:val="hybridMultilevel"/>
    <w:tmpl w:val="FCD64CD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6C10D05"/>
    <w:multiLevelType w:val="hybridMultilevel"/>
    <w:tmpl w:val="50E02AC4"/>
    <w:lvl w:ilvl="0" w:tplc="68026E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C36A72"/>
    <w:multiLevelType w:val="hybridMultilevel"/>
    <w:tmpl w:val="3F7E1FDA"/>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4" w15:restartNumberingAfterBreak="0">
    <w:nsid w:val="1E0F4F84"/>
    <w:multiLevelType w:val="hybridMultilevel"/>
    <w:tmpl w:val="A52858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BD615D"/>
    <w:multiLevelType w:val="hybridMultilevel"/>
    <w:tmpl w:val="F9387D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7F0F86"/>
    <w:multiLevelType w:val="hybridMultilevel"/>
    <w:tmpl w:val="E478525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036432"/>
    <w:multiLevelType w:val="hybridMultilevel"/>
    <w:tmpl w:val="39B0629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8" w15:restartNumberingAfterBreak="0">
    <w:nsid w:val="2C9627CD"/>
    <w:multiLevelType w:val="hybridMultilevel"/>
    <w:tmpl w:val="D6C279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29473A"/>
    <w:multiLevelType w:val="hybridMultilevel"/>
    <w:tmpl w:val="71FE974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8D218BD"/>
    <w:multiLevelType w:val="hybridMultilevel"/>
    <w:tmpl w:val="7AF2F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817212"/>
    <w:multiLevelType w:val="hybridMultilevel"/>
    <w:tmpl w:val="0D8ACC0C"/>
    <w:lvl w:ilvl="0" w:tplc="04090019">
      <w:start w:val="1"/>
      <w:numFmt w:val="lowerLetter"/>
      <w:lvlText w:val="%1."/>
      <w:lvlJc w:val="left"/>
      <w:pPr>
        <w:ind w:left="435" w:hanging="375"/>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2" w15:restartNumberingAfterBreak="0">
    <w:nsid w:val="3D54033D"/>
    <w:multiLevelType w:val="hybridMultilevel"/>
    <w:tmpl w:val="F0DCAB8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531592"/>
    <w:multiLevelType w:val="hybridMultilevel"/>
    <w:tmpl w:val="E1840B2C"/>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45A4143"/>
    <w:multiLevelType w:val="hybridMultilevel"/>
    <w:tmpl w:val="2B7824E4"/>
    <w:lvl w:ilvl="0" w:tplc="08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4AA4D7F"/>
    <w:multiLevelType w:val="hybridMultilevel"/>
    <w:tmpl w:val="AF98EC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5766952"/>
    <w:multiLevelType w:val="hybridMultilevel"/>
    <w:tmpl w:val="56E606E2"/>
    <w:lvl w:ilvl="0" w:tplc="B7A4C81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6594DB9"/>
    <w:multiLevelType w:val="hybridMultilevel"/>
    <w:tmpl w:val="1A769D92"/>
    <w:lvl w:ilvl="0" w:tplc="65C23AF2">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782511C"/>
    <w:multiLevelType w:val="hybridMultilevel"/>
    <w:tmpl w:val="DCA0A3A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593E653C"/>
    <w:multiLevelType w:val="hybridMultilevel"/>
    <w:tmpl w:val="79624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26933D1"/>
    <w:multiLevelType w:val="hybridMultilevel"/>
    <w:tmpl w:val="22765212"/>
    <w:lvl w:ilvl="0" w:tplc="F83E013A">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36B5288"/>
    <w:multiLevelType w:val="hybridMultilevel"/>
    <w:tmpl w:val="711493A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45716CC"/>
    <w:multiLevelType w:val="hybridMultilevel"/>
    <w:tmpl w:val="2788EFD2"/>
    <w:lvl w:ilvl="0" w:tplc="68026E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E5052F3"/>
    <w:multiLevelType w:val="hybridMultilevel"/>
    <w:tmpl w:val="F74A85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F0E3A44"/>
    <w:multiLevelType w:val="multilevel"/>
    <w:tmpl w:val="01EC1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41B09B3"/>
    <w:multiLevelType w:val="hybridMultilevel"/>
    <w:tmpl w:val="7B667DBC"/>
    <w:lvl w:ilvl="0" w:tplc="284EA36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5324B27"/>
    <w:multiLevelType w:val="hybridMultilevel"/>
    <w:tmpl w:val="DCA0A3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5"/>
  </w:num>
  <w:num w:numId="3">
    <w:abstractNumId w:val="25"/>
  </w:num>
  <w:num w:numId="4">
    <w:abstractNumId w:val="14"/>
  </w:num>
  <w:num w:numId="5">
    <w:abstractNumId w:val="20"/>
  </w:num>
  <w:num w:numId="6">
    <w:abstractNumId w:val="10"/>
  </w:num>
  <w:num w:numId="7">
    <w:abstractNumId w:val="17"/>
  </w:num>
  <w:num w:numId="8">
    <w:abstractNumId w:val="1"/>
  </w:num>
  <w:num w:numId="9">
    <w:abstractNumId w:val="23"/>
  </w:num>
  <w:num w:numId="10">
    <w:abstractNumId w:val="19"/>
  </w:num>
  <w:num w:numId="11">
    <w:abstractNumId w:val="24"/>
  </w:num>
  <w:num w:numId="12">
    <w:abstractNumId w:val="21"/>
  </w:num>
  <w:num w:numId="13">
    <w:abstractNumId w:val="12"/>
  </w:num>
  <w:num w:numId="14">
    <w:abstractNumId w:val="22"/>
  </w:num>
  <w:num w:numId="15">
    <w:abstractNumId w:val="2"/>
  </w:num>
  <w:num w:numId="16">
    <w:abstractNumId w:val="8"/>
  </w:num>
  <w:num w:numId="17">
    <w:abstractNumId w:val="6"/>
  </w:num>
  <w:num w:numId="18">
    <w:abstractNumId w:val="16"/>
  </w:num>
  <w:num w:numId="19">
    <w:abstractNumId w:val="3"/>
  </w:num>
  <w:num w:numId="20">
    <w:abstractNumId w:val="13"/>
  </w:num>
  <w:num w:numId="21">
    <w:abstractNumId w:val="9"/>
  </w:num>
  <w:num w:numId="22">
    <w:abstractNumId w:val="7"/>
  </w:num>
  <w:num w:numId="23">
    <w:abstractNumId w:val="0"/>
  </w:num>
  <w:num w:numId="24">
    <w:abstractNumId w:val="26"/>
  </w:num>
  <w:num w:numId="25">
    <w:abstractNumId w:val="15"/>
  </w:num>
  <w:num w:numId="26">
    <w:abstractNumId w:val="18"/>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365"/>
    <w:rsid w:val="0001430F"/>
    <w:rsid w:val="00017456"/>
    <w:rsid w:val="00021DB5"/>
    <w:rsid w:val="00022530"/>
    <w:rsid w:val="00023F52"/>
    <w:rsid w:val="00025214"/>
    <w:rsid w:val="00026337"/>
    <w:rsid w:val="00026757"/>
    <w:rsid w:val="00031486"/>
    <w:rsid w:val="000321D1"/>
    <w:rsid w:val="00035EC8"/>
    <w:rsid w:val="0004016A"/>
    <w:rsid w:val="000422D4"/>
    <w:rsid w:val="000556DE"/>
    <w:rsid w:val="00067DE3"/>
    <w:rsid w:val="000721D0"/>
    <w:rsid w:val="0007617B"/>
    <w:rsid w:val="000838D2"/>
    <w:rsid w:val="00095714"/>
    <w:rsid w:val="0009589A"/>
    <w:rsid w:val="000A1FAA"/>
    <w:rsid w:val="000A3D0C"/>
    <w:rsid w:val="000A6C4A"/>
    <w:rsid w:val="000B1E83"/>
    <w:rsid w:val="000B259B"/>
    <w:rsid w:val="000C0C59"/>
    <w:rsid w:val="000C24B2"/>
    <w:rsid w:val="000C4B7A"/>
    <w:rsid w:val="000D3796"/>
    <w:rsid w:val="000D4A11"/>
    <w:rsid w:val="000D7387"/>
    <w:rsid w:val="0010051E"/>
    <w:rsid w:val="00106523"/>
    <w:rsid w:val="00114350"/>
    <w:rsid w:val="00116E89"/>
    <w:rsid w:val="00122621"/>
    <w:rsid w:val="001400D7"/>
    <w:rsid w:val="00142FCF"/>
    <w:rsid w:val="0014617C"/>
    <w:rsid w:val="00156A73"/>
    <w:rsid w:val="0015787B"/>
    <w:rsid w:val="00163312"/>
    <w:rsid w:val="001676C0"/>
    <w:rsid w:val="001802C9"/>
    <w:rsid w:val="00181480"/>
    <w:rsid w:val="001853AD"/>
    <w:rsid w:val="00187190"/>
    <w:rsid w:val="00187EBF"/>
    <w:rsid w:val="00193875"/>
    <w:rsid w:val="00194276"/>
    <w:rsid w:val="001952B3"/>
    <w:rsid w:val="001B0FE3"/>
    <w:rsid w:val="001B6300"/>
    <w:rsid w:val="001C6815"/>
    <w:rsid w:val="001D3E1A"/>
    <w:rsid w:val="001F0CC0"/>
    <w:rsid w:val="001F1586"/>
    <w:rsid w:val="001F2585"/>
    <w:rsid w:val="001F2A0B"/>
    <w:rsid w:val="002014DF"/>
    <w:rsid w:val="00201655"/>
    <w:rsid w:val="002023CF"/>
    <w:rsid w:val="00202545"/>
    <w:rsid w:val="00207A03"/>
    <w:rsid w:val="00214CB1"/>
    <w:rsid w:val="00215675"/>
    <w:rsid w:val="002173B1"/>
    <w:rsid w:val="00222781"/>
    <w:rsid w:val="00227157"/>
    <w:rsid w:val="0024472F"/>
    <w:rsid w:val="00246592"/>
    <w:rsid w:val="0024664B"/>
    <w:rsid w:val="00247FB0"/>
    <w:rsid w:val="00252352"/>
    <w:rsid w:val="00253832"/>
    <w:rsid w:val="0026460B"/>
    <w:rsid w:val="00273B97"/>
    <w:rsid w:val="00274ED2"/>
    <w:rsid w:val="00286A67"/>
    <w:rsid w:val="00294C18"/>
    <w:rsid w:val="002A375F"/>
    <w:rsid w:val="002B5486"/>
    <w:rsid w:val="002C2358"/>
    <w:rsid w:val="002C72A4"/>
    <w:rsid w:val="002D51F7"/>
    <w:rsid w:val="002F76B6"/>
    <w:rsid w:val="00300005"/>
    <w:rsid w:val="00303A75"/>
    <w:rsid w:val="00306E47"/>
    <w:rsid w:val="003129B1"/>
    <w:rsid w:val="0031785C"/>
    <w:rsid w:val="0032299E"/>
    <w:rsid w:val="00323C89"/>
    <w:rsid w:val="00325043"/>
    <w:rsid w:val="003370DF"/>
    <w:rsid w:val="00345BF4"/>
    <w:rsid w:val="00354087"/>
    <w:rsid w:val="0036084C"/>
    <w:rsid w:val="003671FD"/>
    <w:rsid w:val="00375695"/>
    <w:rsid w:val="0037699B"/>
    <w:rsid w:val="003801E4"/>
    <w:rsid w:val="0038794E"/>
    <w:rsid w:val="00393890"/>
    <w:rsid w:val="003A5B5D"/>
    <w:rsid w:val="003C37FB"/>
    <w:rsid w:val="003C3EEE"/>
    <w:rsid w:val="003C5887"/>
    <w:rsid w:val="003D665D"/>
    <w:rsid w:val="003E2A5D"/>
    <w:rsid w:val="003E4F16"/>
    <w:rsid w:val="003E5259"/>
    <w:rsid w:val="003F27B6"/>
    <w:rsid w:val="003F41FF"/>
    <w:rsid w:val="003F4FAF"/>
    <w:rsid w:val="003F660E"/>
    <w:rsid w:val="00402247"/>
    <w:rsid w:val="004073CC"/>
    <w:rsid w:val="00420821"/>
    <w:rsid w:val="00420F60"/>
    <w:rsid w:val="00422470"/>
    <w:rsid w:val="00434DB9"/>
    <w:rsid w:val="00436844"/>
    <w:rsid w:val="00443F96"/>
    <w:rsid w:val="004453B8"/>
    <w:rsid w:val="004658F0"/>
    <w:rsid w:val="0048041D"/>
    <w:rsid w:val="00481B8E"/>
    <w:rsid w:val="00496AB4"/>
    <w:rsid w:val="004A2A67"/>
    <w:rsid w:val="004A4C90"/>
    <w:rsid w:val="004B5743"/>
    <w:rsid w:val="004B67A9"/>
    <w:rsid w:val="004C5D2D"/>
    <w:rsid w:val="004D26C8"/>
    <w:rsid w:val="004D54B0"/>
    <w:rsid w:val="004E1D3F"/>
    <w:rsid w:val="004E60B3"/>
    <w:rsid w:val="004E641D"/>
    <w:rsid w:val="0051257D"/>
    <w:rsid w:val="00513094"/>
    <w:rsid w:val="005150EC"/>
    <w:rsid w:val="005242C6"/>
    <w:rsid w:val="00525EEA"/>
    <w:rsid w:val="005358CE"/>
    <w:rsid w:val="00535BA4"/>
    <w:rsid w:val="005377BB"/>
    <w:rsid w:val="00545BF4"/>
    <w:rsid w:val="00550F36"/>
    <w:rsid w:val="0055297B"/>
    <w:rsid w:val="00566B81"/>
    <w:rsid w:val="005836B2"/>
    <w:rsid w:val="00586459"/>
    <w:rsid w:val="00592A92"/>
    <w:rsid w:val="0059354C"/>
    <w:rsid w:val="005A50DF"/>
    <w:rsid w:val="005B2890"/>
    <w:rsid w:val="005B42CF"/>
    <w:rsid w:val="005B7E51"/>
    <w:rsid w:val="005C13CF"/>
    <w:rsid w:val="005E4131"/>
    <w:rsid w:val="005E7FA5"/>
    <w:rsid w:val="005F3151"/>
    <w:rsid w:val="005F6DAA"/>
    <w:rsid w:val="00600D56"/>
    <w:rsid w:val="00602C4B"/>
    <w:rsid w:val="0060742C"/>
    <w:rsid w:val="00607B7E"/>
    <w:rsid w:val="00610227"/>
    <w:rsid w:val="00617625"/>
    <w:rsid w:val="00617EA5"/>
    <w:rsid w:val="006300BF"/>
    <w:rsid w:val="00636895"/>
    <w:rsid w:val="00637C94"/>
    <w:rsid w:val="00641B5D"/>
    <w:rsid w:val="00651ED9"/>
    <w:rsid w:val="00655000"/>
    <w:rsid w:val="00660EBD"/>
    <w:rsid w:val="00663D77"/>
    <w:rsid w:val="00664A13"/>
    <w:rsid w:val="00681E03"/>
    <w:rsid w:val="00682365"/>
    <w:rsid w:val="006878DD"/>
    <w:rsid w:val="00693E62"/>
    <w:rsid w:val="006977F5"/>
    <w:rsid w:val="006A7400"/>
    <w:rsid w:val="006B19C3"/>
    <w:rsid w:val="006B2638"/>
    <w:rsid w:val="006B73AC"/>
    <w:rsid w:val="006C46B6"/>
    <w:rsid w:val="006D078C"/>
    <w:rsid w:val="006D1D3C"/>
    <w:rsid w:val="006D2094"/>
    <w:rsid w:val="006D5137"/>
    <w:rsid w:val="006D5833"/>
    <w:rsid w:val="006E14BA"/>
    <w:rsid w:val="006F70DB"/>
    <w:rsid w:val="006F70EC"/>
    <w:rsid w:val="0070586F"/>
    <w:rsid w:val="00713AEC"/>
    <w:rsid w:val="00726302"/>
    <w:rsid w:val="00735F61"/>
    <w:rsid w:val="007633C7"/>
    <w:rsid w:val="0076488A"/>
    <w:rsid w:val="00766BEB"/>
    <w:rsid w:val="00767A32"/>
    <w:rsid w:val="00771E59"/>
    <w:rsid w:val="00773AFC"/>
    <w:rsid w:val="00775B19"/>
    <w:rsid w:val="007856D1"/>
    <w:rsid w:val="00785A4B"/>
    <w:rsid w:val="00786413"/>
    <w:rsid w:val="007A02DA"/>
    <w:rsid w:val="007A4287"/>
    <w:rsid w:val="007B1432"/>
    <w:rsid w:val="007B7C16"/>
    <w:rsid w:val="007C0C97"/>
    <w:rsid w:val="007D4586"/>
    <w:rsid w:val="007D5E47"/>
    <w:rsid w:val="007F3B55"/>
    <w:rsid w:val="008203D9"/>
    <w:rsid w:val="00820866"/>
    <w:rsid w:val="00822325"/>
    <w:rsid w:val="00825678"/>
    <w:rsid w:val="00835056"/>
    <w:rsid w:val="00841B35"/>
    <w:rsid w:val="00845C65"/>
    <w:rsid w:val="00854294"/>
    <w:rsid w:val="00857C0E"/>
    <w:rsid w:val="00857DF6"/>
    <w:rsid w:val="00861DF7"/>
    <w:rsid w:val="008631CB"/>
    <w:rsid w:val="0088779D"/>
    <w:rsid w:val="008A16E8"/>
    <w:rsid w:val="008A1F40"/>
    <w:rsid w:val="008A419B"/>
    <w:rsid w:val="008A5AC7"/>
    <w:rsid w:val="008C2DCD"/>
    <w:rsid w:val="008C3D05"/>
    <w:rsid w:val="008C42D0"/>
    <w:rsid w:val="008C6A79"/>
    <w:rsid w:val="008D5AB7"/>
    <w:rsid w:val="008D6A3C"/>
    <w:rsid w:val="008F5214"/>
    <w:rsid w:val="008F7E37"/>
    <w:rsid w:val="00905496"/>
    <w:rsid w:val="009065E2"/>
    <w:rsid w:val="00912353"/>
    <w:rsid w:val="00920AB2"/>
    <w:rsid w:val="009240DC"/>
    <w:rsid w:val="00933C89"/>
    <w:rsid w:val="00936BEB"/>
    <w:rsid w:val="00941C09"/>
    <w:rsid w:val="00942B23"/>
    <w:rsid w:val="00944D7B"/>
    <w:rsid w:val="00946879"/>
    <w:rsid w:val="0097222F"/>
    <w:rsid w:val="009733E9"/>
    <w:rsid w:val="009847FC"/>
    <w:rsid w:val="0099028E"/>
    <w:rsid w:val="00994320"/>
    <w:rsid w:val="009A0770"/>
    <w:rsid w:val="009A1989"/>
    <w:rsid w:val="009A2AA7"/>
    <w:rsid w:val="009C620C"/>
    <w:rsid w:val="009C7CD3"/>
    <w:rsid w:val="009E108E"/>
    <w:rsid w:val="009F192F"/>
    <w:rsid w:val="009F320C"/>
    <w:rsid w:val="009F7E4B"/>
    <w:rsid w:val="00A06AA5"/>
    <w:rsid w:val="00A07850"/>
    <w:rsid w:val="00A0798B"/>
    <w:rsid w:val="00A1428A"/>
    <w:rsid w:val="00A16C16"/>
    <w:rsid w:val="00A20F31"/>
    <w:rsid w:val="00A319B4"/>
    <w:rsid w:val="00A36B9A"/>
    <w:rsid w:val="00A4015B"/>
    <w:rsid w:val="00A4249A"/>
    <w:rsid w:val="00A42D8B"/>
    <w:rsid w:val="00A458CC"/>
    <w:rsid w:val="00A74212"/>
    <w:rsid w:val="00A81798"/>
    <w:rsid w:val="00A90115"/>
    <w:rsid w:val="00A902F6"/>
    <w:rsid w:val="00A90B54"/>
    <w:rsid w:val="00AB30F5"/>
    <w:rsid w:val="00AB4334"/>
    <w:rsid w:val="00AE0AC7"/>
    <w:rsid w:val="00AE0E61"/>
    <w:rsid w:val="00AE2097"/>
    <w:rsid w:val="00AF1D8E"/>
    <w:rsid w:val="00AF2ED5"/>
    <w:rsid w:val="00B10F48"/>
    <w:rsid w:val="00B12413"/>
    <w:rsid w:val="00B22BD1"/>
    <w:rsid w:val="00B31485"/>
    <w:rsid w:val="00B373F7"/>
    <w:rsid w:val="00B4088F"/>
    <w:rsid w:val="00B42A32"/>
    <w:rsid w:val="00B44325"/>
    <w:rsid w:val="00B4791B"/>
    <w:rsid w:val="00B57B43"/>
    <w:rsid w:val="00B64117"/>
    <w:rsid w:val="00B809CA"/>
    <w:rsid w:val="00B94888"/>
    <w:rsid w:val="00B95B44"/>
    <w:rsid w:val="00BB1183"/>
    <w:rsid w:val="00BB60CB"/>
    <w:rsid w:val="00BB7AB8"/>
    <w:rsid w:val="00BC060B"/>
    <w:rsid w:val="00BC6355"/>
    <w:rsid w:val="00BE0B5F"/>
    <w:rsid w:val="00BE0DC0"/>
    <w:rsid w:val="00BE1A80"/>
    <w:rsid w:val="00BE7F56"/>
    <w:rsid w:val="00C00392"/>
    <w:rsid w:val="00C01D28"/>
    <w:rsid w:val="00C12A50"/>
    <w:rsid w:val="00C15DD5"/>
    <w:rsid w:val="00C167A9"/>
    <w:rsid w:val="00C20601"/>
    <w:rsid w:val="00C25DE0"/>
    <w:rsid w:val="00C32E2D"/>
    <w:rsid w:val="00C5228D"/>
    <w:rsid w:val="00C5633B"/>
    <w:rsid w:val="00C56988"/>
    <w:rsid w:val="00C85CFD"/>
    <w:rsid w:val="00C91E12"/>
    <w:rsid w:val="00CA110A"/>
    <w:rsid w:val="00CA326F"/>
    <w:rsid w:val="00CA4640"/>
    <w:rsid w:val="00CA63FD"/>
    <w:rsid w:val="00CB42FC"/>
    <w:rsid w:val="00CB4426"/>
    <w:rsid w:val="00CC04A8"/>
    <w:rsid w:val="00CC199A"/>
    <w:rsid w:val="00CC4136"/>
    <w:rsid w:val="00CD6257"/>
    <w:rsid w:val="00CD748C"/>
    <w:rsid w:val="00CE520F"/>
    <w:rsid w:val="00CE59FE"/>
    <w:rsid w:val="00CF3B39"/>
    <w:rsid w:val="00D0561C"/>
    <w:rsid w:val="00D133E2"/>
    <w:rsid w:val="00D278FD"/>
    <w:rsid w:val="00D31BFC"/>
    <w:rsid w:val="00D32F4F"/>
    <w:rsid w:val="00D41C3B"/>
    <w:rsid w:val="00D52476"/>
    <w:rsid w:val="00D67BA3"/>
    <w:rsid w:val="00D70304"/>
    <w:rsid w:val="00D7082C"/>
    <w:rsid w:val="00D83381"/>
    <w:rsid w:val="00DC2B70"/>
    <w:rsid w:val="00DC45BF"/>
    <w:rsid w:val="00DC5438"/>
    <w:rsid w:val="00DC7B29"/>
    <w:rsid w:val="00DD376A"/>
    <w:rsid w:val="00DE1B06"/>
    <w:rsid w:val="00DE54F7"/>
    <w:rsid w:val="00DF0CE7"/>
    <w:rsid w:val="00DF159E"/>
    <w:rsid w:val="00E0207D"/>
    <w:rsid w:val="00E10111"/>
    <w:rsid w:val="00E119AF"/>
    <w:rsid w:val="00E13A16"/>
    <w:rsid w:val="00E160DB"/>
    <w:rsid w:val="00E22DD5"/>
    <w:rsid w:val="00E33823"/>
    <w:rsid w:val="00E43DDD"/>
    <w:rsid w:val="00E441F8"/>
    <w:rsid w:val="00E506B9"/>
    <w:rsid w:val="00E63141"/>
    <w:rsid w:val="00E638AE"/>
    <w:rsid w:val="00E73DF5"/>
    <w:rsid w:val="00E746CD"/>
    <w:rsid w:val="00E83D3F"/>
    <w:rsid w:val="00E84BC2"/>
    <w:rsid w:val="00E907CC"/>
    <w:rsid w:val="00EA7801"/>
    <w:rsid w:val="00EC2EBE"/>
    <w:rsid w:val="00EC7D45"/>
    <w:rsid w:val="00ED17BD"/>
    <w:rsid w:val="00ED1A3A"/>
    <w:rsid w:val="00ED3F19"/>
    <w:rsid w:val="00EE7C7B"/>
    <w:rsid w:val="00EF4595"/>
    <w:rsid w:val="00EF62AD"/>
    <w:rsid w:val="00F01E55"/>
    <w:rsid w:val="00F06F11"/>
    <w:rsid w:val="00F074B7"/>
    <w:rsid w:val="00F15F65"/>
    <w:rsid w:val="00F231A4"/>
    <w:rsid w:val="00F51376"/>
    <w:rsid w:val="00F53610"/>
    <w:rsid w:val="00F5435F"/>
    <w:rsid w:val="00F57BAD"/>
    <w:rsid w:val="00F6164A"/>
    <w:rsid w:val="00F65249"/>
    <w:rsid w:val="00F73969"/>
    <w:rsid w:val="00F74A1E"/>
    <w:rsid w:val="00F75491"/>
    <w:rsid w:val="00F8099B"/>
    <w:rsid w:val="00FA1F5B"/>
    <w:rsid w:val="00FA7771"/>
    <w:rsid w:val="00FB1E03"/>
    <w:rsid w:val="00FC2D19"/>
    <w:rsid w:val="00FE2869"/>
    <w:rsid w:val="00FE406A"/>
    <w:rsid w:val="00FF2A17"/>
    <w:rsid w:val="00FF6212"/>
    <w:rsid w:val="06314F7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7DCA23"/>
  <w15:docId w15:val="{824D92C6-061C-43F2-B740-7BCF1AEA9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1485"/>
  </w:style>
  <w:style w:type="paragraph" w:styleId="Heading1">
    <w:name w:val="heading 1"/>
    <w:basedOn w:val="Normal"/>
    <w:next w:val="Normal"/>
    <w:link w:val="Heading1Char"/>
    <w:uiPriority w:val="9"/>
    <w:qFormat/>
    <w:rsid w:val="00773AF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FF621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unhideWhenUsed/>
    <w:qFormat/>
    <w:rsid w:val="00E43DDD"/>
    <w:pPr>
      <w:spacing w:line="259" w:lineRule="auto"/>
      <w:jc w:val="both"/>
      <w:outlineLvl w:val="3"/>
    </w:pPr>
    <w:rPr>
      <w:rFonts w:ascii="Arial" w:hAnsi="Arial" w:cs="Arial"/>
      <w:b/>
      <w:bCs/>
      <w:i/>
      <w:color w:val="4472C4" w:themeColor="accent1"/>
      <w:sz w:val="20"/>
      <w:szCs w:val="22"/>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5043"/>
    <w:pPr>
      <w:tabs>
        <w:tab w:val="center" w:pos="4680"/>
        <w:tab w:val="right" w:pos="9360"/>
      </w:tabs>
    </w:pPr>
  </w:style>
  <w:style w:type="character" w:customStyle="1" w:styleId="HeaderChar">
    <w:name w:val="Header Char"/>
    <w:basedOn w:val="DefaultParagraphFont"/>
    <w:link w:val="Header"/>
    <w:uiPriority w:val="99"/>
    <w:rsid w:val="00325043"/>
  </w:style>
  <w:style w:type="paragraph" w:styleId="Footer">
    <w:name w:val="footer"/>
    <w:basedOn w:val="Normal"/>
    <w:link w:val="FooterChar"/>
    <w:uiPriority w:val="99"/>
    <w:unhideWhenUsed/>
    <w:rsid w:val="00325043"/>
    <w:pPr>
      <w:tabs>
        <w:tab w:val="center" w:pos="4680"/>
        <w:tab w:val="right" w:pos="9360"/>
      </w:tabs>
    </w:pPr>
  </w:style>
  <w:style w:type="character" w:customStyle="1" w:styleId="FooterChar">
    <w:name w:val="Footer Char"/>
    <w:basedOn w:val="DefaultParagraphFont"/>
    <w:link w:val="Footer"/>
    <w:uiPriority w:val="99"/>
    <w:rsid w:val="00325043"/>
  </w:style>
  <w:style w:type="paragraph" w:styleId="BalloonText">
    <w:name w:val="Balloon Text"/>
    <w:basedOn w:val="Normal"/>
    <w:link w:val="BalloonTextChar"/>
    <w:uiPriority w:val="99"/>
    <w:semiHidden/>
    <w:unhideWhenUsed/>
    <w:rsid w:val="00035EC8"/>
    <w:rPr>
      <w:rFonts w:ascii="Tahoma" w:hAnsi="Tahoma" w:cs="Tahoma"/>
      <w:sz w:val="16"/>
      <w:szCs w:val="16"/>
    </w:rPr>
  </w:style>
  <w:style w:type="character" w:customStyle="1" w:styleId="BalloonTextChar">
    <w:name w:val="Balloon Text Char"/>
    <w:basedOn w:val="DefaultParagraphFont"/>
    <w:link w:val="BalloonText"/>
    <w:uiPriority w:val="99"/>
    <w:semiHidden/>
    <w:rsid w:val="00035EC8"/>
    <w:rPr>
      <w:rFonts w:ascii="Tahoma" w:hAnsi="Tahoma" w:cs="Tahoma"/>
      <w:sz w:val="16"/>
      <w:szCs w:val="16"/>
    </w:rPr>
  </w:style>
  <w:style w:type="paragraph" w:styleId="ListParagraph">
    <w:name w:val="List Paragraph"/>
    <w:aliases w:val="F5 List Paragraph,List Paragraph1,Dot pt,No Spacing1,List Paragraph Char Char Char,Indicator Text,Colorful List - Accent 11,Numbered Para 1,Bullet 1,Bullet Points,MAIN CONTENT,List Paragraph12,Bullet Style,List Paragraph2,Normal numbered"/>
    <w:basedOn w:val="Normal"/>
    <w:link w:val="ListParagraphChar"/>
    <w:uiPriority w:val="34"/>
    <w:qFormat/>
    <w:rsid w:val="00EA7801"/>
    <w:pPr>
      <w:ind w:left="720"/>
      <w:contextualSpacing/>
    </w:pPr>
  </w:style>
  <w:style w:type="paragraph" w:customStyle="1" w:styleId="EndNoteBibliography">
    <w:name w:val="EndNote Bibliography"/>
    <w:basedOn w:val="Normal"/>
    <w:link w:val="EndNoteBibliographyChar"/>
    <w:rsid w:val="00EA7801"/>
    <w:pPr>
      <w:spacing w:after="200"/>
    </w:pPr>
    <w:rPr>
      <w:rFonts w:ascii="Calibri" w:eastAsiaTheme="minorEastAsia" w:hAnsi="Calibri" w:cs="Calibri"/>
      <w:noProof/>
      <w:sz w:val="22"/>
      <w:szCs w:val="22"/>
      <w:lang w:val="en-GB" w:eastAsia="zh-CN"/>
    </w:rPr>
  </w:style>
  <w:style w:type="character" w:customStyle="1" w:styleId="EndNoteBibliographyChar">
    <w:name w:val="EndNote Bibliography Char"/>
    <w:basedOn w:val="DefaultParagraphFont"/>
    <w:link w:val="EndNoteBibliography"/>
    <w:rsid w:val="00EA7801"/>
    <w:rPr>
      <w:rFonts w:ascii="Calibri" w:eastAsiaTheme="minorEastAsia" w:hAnsi="Calibri" w:cs="Calibri"/>
      <w:noProof/>
      <w:sz w:val="22"/>
      <w:szCs w:val="22"/>
      <w:lang w:val="en-GB" w:eastAsia="zh-CN"/>
    </w:rPr>
  </w:style>
  <w:style w:type="character" w:styleId="FootnoteReference">
    <w:name w:val="footnote reference"/>
    <w:aliases w:val="BVI fnr Char Char,BVI fnr Car Car Char Char,BVI fnr Car Char Char,BVI fnr Car Car Car Car Char Char Char,BVI fnr Car Car Car Car Char Char Char Char Char Char Char Char Char Char Char,BVI fnr,BVI fnr Car Car,BVI fnr Car"/>
    <w:basedOn w:val="DefaultParagraphFont"/>
    <w:uiPriority w:val="99"/>
    <w:unhideWhenUsed/>
    <w:rsid w:val="00857C0E"/>
    <w:rPr>
      <w:vertAlign w:val="superscript"/>
    </w:rPr>
  </w:style>
  <w:style w:type="paragraph" w:styleId="FootnoteText">
    <w:name w:val="footnote text"/>
    <w:aliases w:val="Car,Char,Footnote Text Char Char Char Char,Footnote Text Char Char,Char Char Char Char"/>
    <w:basedOn w:val="Normal"/>
    <w:link w:val="FootnoteTextChar"/>
    <w:uiPriority w:val="99"/>
    <w:unhideWhenUsed/>
    <w:rsid w:val="00857C0E"/>
    <w:rPr>
      <w:rFonts w:eastAsiaTheme="minorEastAsia"/>
      <w:sz w:val="20"/>
      <w:szCs w:val="20"/>
      <w:lang w:val="en-GB" w:eastAsia="zh-CN"/>
    </w:rPr>
  </w:style>
  <w:style w:type="character" w:customStyle="1" w:styleId="FootnoteTextChar">
    <w:name w:val="Footnote Text Char"/>
    <w:aliases w:val="Car Char,Char Char,Footnote Text Char Char Char Char Char,Footnote Text Char Char Char,Char Char Char Char Char"/>
    <w:basedOn w:val="DefaultParagraphFont"/>
    <w:link w:val="FootnoteText"/>
    <w:uiPriority w:val="99"/>
    <w:rsid w:val="00857C0E"/>
    <w:rPr>
      <w:rFonts w:eastAsiaTheme="minorEastAsia"/>
      <w:sz w:val="20"/>
      <w:szCs w:val="20"/>
      <w:lang w:val="en-GB" w:eastAsia="zh-CN"/>
    </w:rPr>
  </w:style>
  <w:style w:type="character" w:styleId="CommentReference">
    <w:name w:val="annotation reference"/>
    <w:basedOn w:val="DefaultParagraphFont"/>
    <w:uiPriority w:val="99"/>
    <w:semiHidden/>
    <w:unhideWhenUsed/>
    <w:rsid w:val="00F231A4"/>
    <w:rPr>
      <w:sz w:val="16"/>
      <w:szCs w:val="16"/>
    </w:rPr>
  </w:style>
  <w:style w:type="paragraph" w:styleId="CommentText">
    <w:name w:val="annotation text"/>
    <w:basedOn w:val="Normal"/>
    <w:link w:val="CommentTextChar"/>
    <w:uiPriority w:val="99"/>
    <w:unhideWhenUsed/>
    <w:rsid w:val="00F231A4"/>
    <w:rPr>
      <w:sz w:val="20"/>
      <w:szCs w:val="20"/>
    </w:rPr>
  </w:style>
  <w:style w:type="character" w:customStyle="1" w:styleId="CommentTextChar">
    <w:name w:val="Comment Text Char"/>
    <w:basedOn w:val="DefaultParagraphFont"/>
    <w:link w:val="CommentText"/>
    <w:uiPriority w:val="99"/>
    <w:rsid w:val="00F231A4"/>
    <w:rPr>
      <w:sz w:val="20"/>
      <w:szCs w:val="20"/>
    </w:rPr>
  </w:style>
  <w:style w:type="paragraph" w:styleId="CommentSubject">
    <w:name w:val="annotation subject"/>
    <w:basedOn w:val="CommentText"/>
    <w:next w:val="CommentText"/>
    <w:link w:val="CommentSubjectChar"/>
    <w:uiPriority w:val="99"/>
    <w:semiHidden/>
    <w:unhideWhenUsed/>
    <w:rsid w:val="00F231A4"/>
    <w:rPr>
      <w:b/>
      <w:bCs/>
    </w:rPr>
  </w:style>
  <w:style w:type="character" w:customStyle="1" w:styleId="CommentSubjectChar">
    <w:name w:val="Comment Subject Char"/>
    <w:basedOn w:val="CommentTextChar"/>
    <w:link w:val="CommentSubject"/>
    <w:uiPriority w:val="99"/>
    <w:semiHidden/>
    <w:rsid w:val="00F231A4"/>
    <w:rPr>
      <w:b/>
      <w:bCs/>
      <w:sz w:val="20"/>
      <w:szCs w:val="20"/>
    </w:rPr>
  </w:style>
  <w:style w:type="character" w:customStyle="1" w:styleId="Heading4Char">
    <w:name w:val="Heading 4 Char"/>
    <w:basedOn w:val="DefaultParagraphFont"/>
    <w:link w:val="Heading4"/>
    <w:uiPriority w:val="9"/>
    <w:rsid w:val="00E43DDD"/>
    <w:rPr>
      <w:rFonts w:ascii="Arial" w:hAnsi="Arial" w:cs="Arial"/>
      <w:b/>
      <w:bCs/>
      <w:i/>
      <w:color w:val="4472C4" w:themeColor="accent1"/>
      <w:sz w:val="20"/>
      <w:szCs w:val="22"/>
      <w:lang w:val="en-ZA"/>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basedOn w:val="DefaultParagraphFont"/>
    <w:link w:val="ListParagraph"/>
    <w:uiPriority w:val="34"/>
    <w:qFormat/>
    <w:rsid w:val="00E43DDD"/>
  </w:style>
  <w:style w:type="paragraph" w:customStyle="1" w:styleId="Pa1">
    <w:name w:val="Pa1"/>
    <w:basedOn w:val="Normal"/>
    <w:next w:val="Normal"/>
    <w:uiPriority w:val="99"/>
    <w:rsid w:val="00E43DDD"/>
    <w:pPr>
      <w:autoSpaceDE w:val="0"/>
      <w:autoSpaceDN w:val="0"/>
      <w:adjustRightInd w:val="0"/>
      <w:spacing w:line="561" w:lineRule="atLeast"/>
    </w:pPr>
    <w:rPr>
      <w:rFonts w:ascii="Montserrat" w:hAnsi="Montserrat"/>
    </w:rPr>
  </w:style>
  <w:style w:type="paragraph" w:customStyle="1" w:styleId="Pa5">
    <w:name w:val="Pa5"/>
    <w:basedOn w:val="Normal"/>
    <w:next w:val="Normal"/>
    <w:uiPriority w:val="99"/>
    <w:rsid w:val="00E43DDD"/>
    <w:pPr>
      <w:autoSpaceDE w:val="0"/>
      <w:autoSpaceDN w:val="0"/>
      <w:adjustRightInd w:val="0"/>
      <w:spacing w:line="301" w:lineRule="atLeast"/>
    </w:pPr>
    <w:rPr>
      <w:rFonts w:ascii="Montserrat" w:hAnsi="Montserrat"/>
    </w:rPr>
  </w:style>
  <w:style w:type="paragraph" w:customStyle="1" w:styleId="Pa4">
    <w:name w:val="Pa4"/>
    <w:basedOn w:val="Normal"/>
    <w:next w:val="Normal"/>
    <w:uiPriority w:val="99"/>
    <w:rsid w:val="00E43DDD"/>
    <w:pPr>
      <w:autoSpaceDE w:val="0"/>
      <w:autoSpaceDN w:val="0"/>
      <w:adjustRightInd w:val="0"/>
      <w:spacing w:line="241" w:lineRule="atLeast"/>
    </w:pPr>
    <w:rPr>
      <w:rFonts w:ascii="Montserrat" w:hAnsi="Montserrat"/>
    </w:rPr>
  </w:style>
  <w:style w:type="table" w:styleId="TableGrid">
    <w:name w:val="Table Grid"/>
    <w:basedOn w:val="TableNormal"/>
    <w:uiPriority w:val="39"/>
    <w:rsid w:val="00F15F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F62AD"/>
  </w:style>
  <w:style w:type="paragraph" w:styleId="Revision">
    <w:name w:val="Revision"/>
    <w:hidden/>
    <w:uiPriority w:val="99"/>
    <w:semiHidden/>
    <w:rsid w:val="003801E4"/>
  </w:style>
  <w:style w:type="character" w:customStyle="1" w:styleId="Heading2Char">
    <w:name w:val="Heading 2 Char"/>
    <w:basedOn w:val="DefaultParagraphFont"/>
    <w:link w:val="Heading2"/>
    <w:uiPriority w:val="9"/>
    <w:semiHidden/>
    <w:rsid w:val="00FF6212"/>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773AFC"/>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A07850"/>
    <w:rPr>
      <w:color w:val="0563C1" w:themeColor="hyperlink"/>
      <w:u w:val="single"/>
    </w:rPr>
  </w:style>
  <w:style w:type="character" w:styleId="UnresolvedMention">
    <w:name w:val="Unresolved Mention"/>
    <w:basedOn w:val="DefaultParagraphFont"/>
    <w:uiPriority w:val="99"/>
    <w:semiHidden/>
    <w:unhideWhenUsed/>
    <w:rsid w:val="00A07850"/>
    <w:rPr>
      <w:color w:val="605E5C"/>
      <w:shd w:val="clear" w:color="auto" w:fill="E1DFDD"/>
    </w:rPr>
  </w:style>
  <w:style w:type="character" w:styleId="FollowedHyperlink">
    <w:name w:val="FollowedHyperlink"/>
    <w:basedOn w:val="DefaultParagraphFont"/>
    <w:uiPriority w:val="99"/>
    <w:semiHidden/>
    <w:unhideWhenUsed/>
    <w:rsid w:val="007C0C9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801807">
      <w:bodyDiv w:val="1"/>
      <w:marLeft w:val="0"/>
      <w:marRight w:val="0"/>
      <w:marTop w:val="0"/>
      <w:marBottom w:val="0"/>
      <w:divBdr>
        <w:top w:val="none" w:sz="0" w:space="0" w:color="auto"/>
        <w:left w:val="none" w:sz="0" w:space="0" w:color="auto"/>
        <w:bottom w:val="none" w:sz="0" w:space="0" w:color="auto"/>
        <w:right w:val="none" w:sz="0" w:space="0" w:color="auto"/>
      </w:divBdr>
    </w:div>
    <w:div w:id="491525957">
      <w:bodyDiv w:val="1"/>
      <w:marLeft w:val="0"/>
      <w:marRight w:val="0"/>
      <w:marTop w:val="0"/>
      <w:marBottom w:val="0"/>
      <w:divBdr>
        <w:top w:val="none" w:sz="0" w:space="0" w:color="auto"/>
        <w:left w:val="none" w:sz="0" w:space="0" w:color="auto"/>
        <w:bottom w:val="none" w:sz="0" w:space="0" w:color="auto"/>
        <w:right w:val="none" w:sz="0" w:space="0" w:color="auto"/>
      </w:divBdr>
    </w:div>
    <w:div w:id="13236544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at2030.org/static/at2030_core/outputs/Product_Narrative-Eyeglasses_final.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apps.who.int/iris/handle/10665/207694"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apps.who.int/iris/handle/10665/328717" TargetMode="External"/><Relationship Id="rId4" Type="http://schemas.openxmlformats.org/officeDocument/2006/relationships/styles" Target="styles.xml"/><Relationship Id="rId9" Type="http://schemas.openxmlformats.org/officeDocument/2006/relationships/hyperlink" Target="https://apps.who.int/iris/handle/10665/363158"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0.png"/><Relationship Id="rId2" Type="http://schemas.openxmlformats.org/officeDocument/2006/relationships/image" Target="media/image2.pn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035170DE24149F1A955F1E1DBE591F8"/>
        <w:category>
          <w:name w:val="General"/>
          <w:gallery w:val="placeholder"/>
        </w:category>
        <w:types>
          <w:type w:val="bbPlcHdr"/>
        </w:types>
        <w:behaviors>
          <w:behavior w:val="content"/>
        </w:behaviors>
        <w:guid w:val="{36829F7C-0959-48B0-B407-989FEBB3020E}"/>
      </w:docPartPr>
      <w:docPartBody>
        <w:p w:rsidR="00330D2C" w:rsidRDefault="000418CC" w:rsidP="000418CC">
          <w:pPr>
            <w:pStyle w:val="2035170DE24149F1A955F1E1DBE591F8"/>
          </w:pPr>
          <w:r w:rsidRPr="00C472A0">
            <w:rPr>
              <w:rStyle w:val="PlaceholderText"/>
            </w:rPr>
            <w:t>Clique ou toque aqui para introduzir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Montserrat">
    <w:charset w:val="00"/>
    <w:family w:val="auto"/>
    <w:pitch w:val="variable"/>
    <w:sig w:usb0="2000020F" w:usb1="00000003" w:usb2="00000000" w:usb3="00000000" w:csb0="00000197" w:csb1="00000000"/>
  </w:font>
  <w:font w:name="Century Gothic">
    <w:panose1 w:val="020B0502020202020204"/>
    <w:charset w:val="00"/>
    <w:family w:val="swiss"/>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8CC"/>
    <w:rsid w:val="00012C58"/>
    <w:rsid w:val="000418CC"/>
    <w:rsid w:val="00243C1F"/>
    <w:rsid w:val="00330D2C"/>
    <w:rsid w:val="009D4E7B"/>
    <w:rsid w:val="00B056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418CC"/>
    <w:rPr>
      <w:color w:val="808080"/>
    </w:rPr>
  </w:style>
  <w:style w:type="paragraph" w:customStyle="1" w:styleId="2035170DE24149F1A955F1E1DBE591F8">
    <w:name w:val="2035170DE24149F1A955F1E1DBE591F8"/>
    <w:rsid w:val="000418C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0305DC5D8538F4E9D933D12DE2E6708" ma:contentTypeVersion="14" ma:contentTypeDescription="Create a new document." ma:contentTypeScope="" ma:versionID="50854ec9c906ff3f06ef48bf92452b44">
  <xsd:schema xmlns:xsd="http://www.w3.org/2001/XMLSchema" xmlns:xs="http://www.w3.org/2001/XMLSchema" xmlns:p="http://schemas.microsoft.com/office/2006/metadata/properties" xmlns:ns2="926e916a-12c2-4849-9970-f063745be237" xmlns:ns3="0c4d9b96-5f82-4a71-8017-195d4965da27" targetNamespace="http://schemas.microsoft.com/office/2006/metadata/properties" ma:root="true" ma:fieldsID="b9e3b34e589a45d2641ac7e76ea5630e" ns2:_="" ns3:_="">
    <xsd:import namespace="926e916a-12c2-4849-9970-f063745be237"/>
    <xsd:import namespace="0c4d9b96-5f82-4a71-8017-195d4965da2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6e916a-12c2-4849-9970-f063745be2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aa4eac88-8ae6-4a96-90c7-97bc93c844ef"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c4d9b96-5f82-4a71-8017-195d4965da2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f2672948-811e-4e15-b8b1-2b7630d07216}" ma:internalName="TaxCatchAll" ma:showField="CatchAllData" ma:web="0c4d9b96-5f82-4a71-8017-195d4965da2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B60F39D-B92E-4F78-9070-A80E829EA62E}">
  <ds:schemaRefs>
    <ds:schemaRef ds:uri="http://schemas.microsoft.com/sharepoint/v3/contenttype/forms"/>
  </ds:schemaRefs>
</ds:datastoreItem>
</file>

<file path=customXml/itemProps2.xml><?xml version="1.0" encoding="utf-8"?>
<ds:datastoreItem xmlns:ds="http://schemas.openxmlformats.org/officeDocument/2006/customXml" ds:itemID="{7B30F66A-C785-42DB-9383-4165622B6A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6e916a-12c2-4849-9970-f063745be237"/>
    <ds:schemaRef ds:uri="0c4d9b96-5f82-4a71-8017-195d4965da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4</Pages>
  <Words>1327</Words>
  <Characters>7304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L'IV Com SARL</Company>
  <LinksUpToDate>false</LinksUpToDate>
  <CharactersWithSpaces>8614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Irène Lengui</dc:creator>
  <cp:keywords/>
  <dc:description/>
  <cp:lastModifiedBy>CHASSEROT, Robin, Paul, Yves</cp:lastModifiedBy>
  <cp:revision>7</cp:revision>
  <cp:lastPrinted>2019-12-17T05:35:00Z</cp:lastPrinted>
  <dcterms:created xsi:type="dcterms:W3CDTF">2023-02-11T20:23:00Z</dcterms:created>
  <dcterms:modified xsi:type="dcterms:W3CDTF">2023-03-07T11:46:00Z</dcterms:modified>
</cp:coreProperties>
</file>