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Layout w:type="fixed"/>
        <w:tblCellMar>
          <w:left w:w="70" w:type="dxa"/>
          <w:right w:w="70" w:type="dxa"/>
        </w:tblCellMar>
        <w:tblLook w:val="0000" w:firstRow="0" w:lastRow="0" w:firstColumn="0" w:lastColumn="0" w:noHBand="0" w:noVBand="0"/>
      </w:tblPr>
      <w:tblGrid>
        <w:gridCol w:w="4930"/>
        <w:gridCol w:w="1353"/>
        <w:gridCol w:w="3426"/>
      </w:tblGrid>
      <w:tr w:rsidR="00237C8D" w:rsidRPr="00736338" w14:paraId="34C4988E" w14:textId="77777777" w:rsidTr="00266DAA">
        <w:trPr>
          <w:cantSplit/>
        </w:trPr>
        <w:tc>
          <w:tcPr>
            <w:tcW w:w="9709" w:type="dxa"/>
            <w:gridSpan w:val="3"/>
          </w:tcPr>
          <w:p w14:paraId="3CCD8DC5" w14:textId="77777777" w:rsidR="00237C8D" w:rsidRPr="00736338" w:rsidRDefault="00237C8D" w:rsidP="00237C8D">
            <w:pPr>
              <w:pStyle w:val="Heading2"/>
              <w:tabs>
                <w:tab w:val="left" w:pos="5660"/>
              </w:tabs>
              <w:spacing w:before="2" w:after="2"/>
              <w:rPr>
                <w:rFonts w:ascii="Cambria" w:hAnsi="Cambria"/>
                <w:smallCaps/>
                <w:sz w:val="44"/>
                <w:szCs w:val="44"/>
              </w:rPr>
            </w:pPr>
          </w:p>
        </w:tc>
      </w:tr>
      <w:tr w:rsidR="00237C8D" w:rsidRPr="0039344A" w14:paraId="150C7412" w14:textId="77777777" w:rsidTr="00266DAA">
        <w:trPr>
          <w:cantSplit/>
        </w:trPr>
        <w:tc>
          <w:tcPr>
            <w:tcW w:w="4930" w:type="dxa"/>
            <w:tcBorders>
              <w:bottom w:val="single" w:sz="12" w:space="0" w:color="auto"/>
            </w:tcBorders>
          </w:tcPr>
          <w:p w14:paraId="751D5F31" w14:textId="77777777" w:rsidR="002C1DCF" w:rsidRPr="0039344A" w:rsidRDefault="006C30BE" w:rsidP="002C1DCF">
            <w:pPr>
              <w:tabs>
                <w:tab w:val="right" w:pos="9356"/>
              </w:tabs>
            </w:pPr>
            <w:r w:rsidRPr="0039344A">
              <w:rPr>
                <w:noProof/>
              </w:rPr>
              <w:drawing>
                <wp:inline distT="0" distB="0" distL="0" distR="0" wp14:anchorId="507E056E" wp14:editId="0DA33EEE">
                  <wp:extent cx="2451100" cy="800100"/>
                  <wp:effectExtent l="0" t="0" r="6350" b="0"/>
                  <wp:docPr id="1" name="Picture 1"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BW-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0" cy="800100"/>
                          </a:xfrm>
                          <a:prstGeom prst="rect">
                            <a:avLst/>
                          </a:prstGeom>
                          <a:noFill/>
                          <a:ln>
                            <a:noFill/>
                          </a:ln>
                        </pic:spPr>
                      </pic:pic>
                    </a:graphicData>
                  </a:graphic>
                </wp:inline>
              </w:drawing>
            </w:r>
          </w:p>
          <w:p w14:paraId="02D9D251" w14:textId="77777777" w:rsidR="00237C8D" w:rsidRPr="0039344A" w:rsidRDefault="00237C8D" w:rsidP="00237C8D">
            <w:pPr>
              <w:tabs>
                <w:tab w:val="left" w:pos="5660"/>
                <w:tab w:val="right" w:pos="9356"/>
              </w:tabs>
              <w:ind w:right="-1"/>
              <w:rPr>
                <w:rFonts w:ascii="Cambria" w:hAnsi="Cambria"/>
                <w:smallCaps/>
              </w:rPr>
            </w:pPr>
          </w:p>
        </w:tc>
        <w:tc>
          <w:tcPr>
            <w:tcW w:w="1353" w:type="dxa"/>
            <w:tcBorders>
              <w:bottom w:val="single" w:sz="12" w:space="0" w:color="auto"/>
            </w:tcBorders>
          </w:tcPr>
          <w:p w14:paraId="7966161C" w14:textId="77777777" w:rsidR="00237C8D" w:rsidRPr="0039344A" w:rsidRDefault="00237C8D" w:rsidP="00237C8D">
            <w:pPr>
              <w:tabs>
                <w:tab w:val="left" w:pos="5660"/>
                <w:tab w:val="right" w:pos="9356"/>
              </w:tabs>
              <w:rPr>
                <w:rFonts w:ascii="Cambria" w:hAnsi="Cambria"/>
                <w:smallCaps/>
              </w:rPr>
            </w:pPr>
          </w:p>
        </w:tc>
        <w:tc>
          <w:tcPr>
            <w:tcW w:w="3426" w:type="dxa"/>
            <w:tcBorders>
              <w:bottom w:val="single" w:sz="12" w:space="0" w:color="auto"/>
            </w:tcBorders>
          </w:tcPr>
          <w:p w14:paraId="5C6B2237" w14:textId="77777777" w:rsidR="00237C8D" w:rsidRPr="0039344A" w:rsidRDefault="00237C8D" w:rsidP="00237C8D">
            <w:pPr>
              <w:tabs>
                <w:tab w:val="left" w:pos="5660"/>
                <w:tab w:val="right" w:pos="9356"/>
              </w:tabs>
              <w:ind w:right="-1"/>
              <w:jc w:val="right"/>
              <w:rPr>
                <w:rFonts w:ascii="Cambria" w:hAnsi="Cambria"/>
                <w:smallCaps/>
              </w:rPr>
            </w:pPr>
          </w:p>
        </w:tc>
      </w:tr>
    </w:tbl>
    <w:p w14:paraId="19CD9315" w14:textId="77777777" w:rsidR="00237C8D" w:rsidRPr="0039344A" w:rsidRDefault="00237C8D" w:rsidP="00237C8D">
      <w:pPr>
        <w:tabs>
          <w:tab w:val="left" w:pos="5660"/>
          <w:tab w:val="right" w:pos="9356"/>
        </w:tabs>
        <w:rPr>
          <w:rFonts w:ascii="Cambria" w:hAnsi="Cambria"/>
          <w:bCs/>
        </w:rPr>
      </w:pPr>
    </w:p>
    <w:tbl>
      <w:tblPr>
        <w:tblW w:w="9606" w:type="dxa"/>
        <w:tblLayout w:type="fixed"/>
        <w:tblLook w:val="0000" w:firstRow="0" w:lastRow="0" w:firstColumn="0" w:lastColumn="0" w:noHBand="0" w:noVBand="0"/>
      </w:tblPr>
      <w:tblGrid>
        <w:gridCol w:w="4140"/>
        <w:gridCol w:w="5466"/>
      </w:tblGrid>
      <w:tr w:rsidR="00237C8D" w:rsidRPr="0039344A" w14:paraId="6B61F65C" w14:textId="77777777">
        <w:tc>
          <w:tcPr>
            <w:tcW w:w="9606" w:type="dxa"/>
            <w:gridSpan w:val="2"/>
          </w:tcPr>
          <w:p w14:paraId="5B5F2565" w14:textId="3071F056" w:rsidR="00C20459" w:rsidRPr="0039344A" w:rsidRDefault="00D056D6" w:rsidP="00F97CB3">
            <w:pPr>
              <w:pStyle w:val="Title"/>
              <w:jc w:val="left"/>
              <w:rPr>
                <w:rFonts w:ascii="Cambria" w:hAnsi="Cambria" w:cs="Arial"/>
                <w:b w:val="0"/>
                <w:smallCaps/>
                <w:sz w:val="26"/>
                <w:szCs w:val="26"/>
              </w:rPr>
            </w:pPr>
            <w:r w:rsidRPr="0039344A">
              <w:rPr>
                <w:rFonts w:ascii="Cambria" w:hAnsi="Cambria" w:cs="Arial"/>
                <w:b w:val="0"/>
                <w:smallCaps/>
                <w:sz w:val="26"/>
                <w:szCs w:val="26"/>
              </w:rPr>
              <w:t xml:space="preserve">REGIONAL ADVISORS MEETING ON EQUITY AND HEALTH; ECONOMIC AND COMMERCIAL DETERMINANTS OF HEALTH; URBAN HEALTH – </w:t>
            </w:r>
            <w:r w:rsidR="003F4297" w:rsidRPr="0039344A">
              <w:rPr>
                <w:rFonts w:ascii="Cambria" w:hAnsi="Cambria" w:cs="Arial"/>
                <w:b w:val="0"/>
                <w:smallCaps/>
                <w:sz w:val="26"/>
                <w:szCs w:val="26"/>
              </w:rPr>
              <w:t xml:space="preserve">APRIL </w:t>
            </w:r>
            <w:r w:rsidRPr="0039344A">
              <w:rPr>
                <w:rFonts w:ascii="Cambria" w:hAnsi="Cambria" w:cs="Arial"/>
                <w:b w:val="0"/>
                <w:smallCaps/>
                <w:sz w:val="26"/>
                <w:szCs w:val="26"/>
              </w:rPr>
              <w:t>2023</w:t>
            </w:r>
          </w:p>
          <w:p w14:paraId="3F69DF8B" w14:textId="77777777" w:rsidR="00D056D6" w:rsidRPr="0039344A" w:rsidRDefault="00D056D6" w:rsidP="00F97CB3">
            <w:pPr>
              <w:pStyle w:val="Title"/>
              <w:jc w:val="left"/>
              <w:rPr>
                <w:rFonts w:ascii="Cambria" w:hAnsi="Cambria" w:cs="Arial"/>
                <w:b w:val="0"/>
                <w:smallCaps/>
                <w:sz w:val="24"/>
                <w:szCs w:val="24"/>
              </w:rPr>
            </w:pPr>
          </w:p>
          <w:p w14:paraId="035EEACA" w14:textId="1C6FB418" w:rsidR="002C1DCF" w:rsidRPr="0039344A" w:rsidRDefault="00C20459" w:rsidP="00F97CB3">
            <w:pPr>
              <w:pStyle w:val="Title"/>
              <w:jc w:val="left"/>
              <w:rPr>
                <w:rFonts w:ascii="Cambria" w:hAnsi="Cambria" w:cs="Arial"/>
                <w:b w:val="0"/>
                <w:smallCaps/>
                <w:sz w:val="23"/>
                <w:szCs w:val="23"/>
              </w:rPr>
            </w:pPr>
            <w:r w:rsidRPr="0039344A">
              <w:rPr>
                <w:rFonts w:ascii="Cambria" w:hAnsi="Cambria" w:cs="Arial"/>
                <w:b w:val="0"/>
                <w:smallCaps/>
                <w:sz w:val="24"/>
                <w:szCs w:val="24"/>
              </w:rPr>
              <w:t>WHO HQ G</w:t>
            </w:r>
            <w:r w:rsidR="005528DF" w:rsidRPr="0039344A">
              <w:rPr>
                <w:rFonts w:ascii="Cambria" w:hAnsi="Cambria" w:cs="Arial"/>
                <w:b w:val="0"/>
                <w:smallCaps/>
                <w:sz w:val="24"/>
                <w:szCs w:val="24"/>
              </w:rPr>
              <w:t>ENEVA</w:t>
            </w:r>
            <w:r w:rsidRPr="0039344A">
              <w:rPr>
                <w:rFonts w:ascii="Cambria" w:hAnsi="Cambria" w:cs="Arial"/>
                <w:b w:val="0"/>
                <w:smallCaps/>
                <w:sz w:val="24"/>
                <w:szCs w:val="24"/>
              </w:rPr>
              <w:t>, S</w:t>
            </w:r>
            <w:r w:rsidR="005528DF" w:rsidRPr="0039344A">
              <w:rPr>
                <w:rFonts w:ascii="Cambria" w:hAnsi="Cambria" w:cs="Arial"/>
                <w:b w:val="0"/>
                <w:smallCaps/>
                <w:sz w:val="24"/>
                <w:szCs w:val="24"/>
              </w:rPr>
              <w:t>ALLE</w:t>
            </w:r>
            <w:r w:rsidR="009A333C" w:rsidRPr="0039344A">
              <w:rPr>
                <w:rFonts w:ascii="Cambria" w:hAnsi="Cambria" w:cs="Arial"/>
                <w:b w:val="0"/>
                <w:smallCaps/>
                <w:sz w:val="24"/>
                <w:szCs w:val="24"/>
              </w:rPr>
              <w:t xml:space="preserve"> M505</w:t>
            </w:r>
          </w:p>
        </w:tc>
      </w:tr>
      <w:tr w:rsidR="005B524F" w:rsidRPr="0039344A" w14:paraId="4889F579" w14:textId="77777777" w:rsidTr="004D0C35">
        <w:tc>
          <w:tcPr>
            <w:tcW w:w="4140" w:type="dxa"/>
          </w:tcPr>
          <w:p w14:paraId="2835235B" w14:textId="114EA225" w:rsidR="005B524F" w:rsidRPr="0039344A" w:rsidRDefault="005B524F" w:rsidP="007E1B46">
            <w:pPr>
              <w:tabs>
                <w:tab w:val="left" w:pos="5660"/>
              </w:tabs>
              <w:rPr>
                <w:rFonts w:ascii="Cambria" w:hAnsi="Cambria" w:cs="Arial"/>
                <w:bCs/>
                <w:sz w:val="23"/>
                <w:szCs w:val="23"/>
              </w:rPr>
            </w:pPr>
          </w:p>
        </w:tc>
        <w:tc>
          <w:tcPr>
            <w:tcW w:w="5466" w:type="dxa"/>
          </w:tcPr>
          <w:p w14:paraId="199A1E52" w14:textId="77777777" w:rsidR="005B524F" w:rsidRPr="0039344A" w:rsidRDefault="005B524F" w:rsidP="007E1B46">
            <w:pPr>
              <w:tabs>
                <w:tab w:val="left" w:pos="5660"/>
                <w:tab w:val="right" w:pos="9571"/>
              </w:tabs>
              <w:rPr>
                <w:rFonts w:ascii="Cambria" w:hAnsi="Cambria"/>
                <w:bCs/>
                <w:sz w:val="26"/>
                <w:szCs w:val="26"/>
              </w:rPr>
            </w:pPr>
          </w:p>
        </w:tc>
      </w:tr>
      <w:tr w:rsidR="00B10560" w:rsidRPr="0039344A" w14:paraId="1CE7ED34" w14:textId="77777777" w:rsidTr="004D0C35">
        <w:tc>
          <w:tcPr>
            <w:tcW w:w="4140" w:type="dxa"/>
          </w:tcPr>
          <w:p w14:paraId="0F28EF53" w14:textId="6F66A71B" w:rsidR="00B10560" w:rsidRPr="0039344A" w:rsidRDefault="00335D56" w:rsidP="00B10560">
            <w:pPr>
              <w:tabs>
                <w:tab w:val="left" w:pos="5660"/>
              </w:tabs>
              <w:rPr>
                <w:rFonts w:ascii="Cambria" w:hAnsi="Cambria" w:cs="Arial"/>
                <w:bCs/>
                <w:sz w:val="24"/>
                <w:szCs w:val="22"/>
              </w:rPr>
            </w:pPr>
            <w:r w:rsidRPr="0039344A">
              <w:rPr>
                <w:rFonts w:ascii="Cambria" w:hAnsi="Cambria" w:cs="Arial"/>
                <w:bCs/>
                <w:sz w:val="24"/>
                <w:szCs w:val="22"/>
              </w:rPr>
              <w:t>25-2</w:t>
            </w:r>
            <w:r w:rsidR="001825F4" w:rsidRPr="0039344A">
              <w:rPr>
                <w:rFonts w:ascii="Cambria" w:hAnsi="Cambria" w:cs="Arial"/>
                <w:bCs/>
                <w:sz w:val="24"/>
                <w:szCs w:val="22"/>
              </w:rPr>
              <w:t>7</w:t>
            </w:r>
            <w:r w:rsidRPr="0039344A">
              <w:rPr>
                <w:rFonts w:ascii="Cambria" w:hAnsi="Cambria" w:cs="Arial"/>
                <w:bCs/>
                <w:sz w:val="24"/>
                <w:szCs w:val="22"/>
              </w:rPr>
              <w:t xml:space="preserve"> April 2023</w:t>
            </w:r>
            <w:r w:rsidR="00C20459" w:rsidRPr="0039344A">
              <w:rPr>
                <w:rFonts w:ascii="Cambria" w:hAnsi="Cambria" w:cs="Arial"/>
                <w:bCs/>
                <w:sz w:val="24"/>
                <w:szCs w:val="22"/>
              </w:rPr>
              <w:t xml:space="preserve"> </w:t>
            </w:r>
          </w:p>
          <w:p w14:paraId="6F9AF9F2" w14:textId="6B75541E" w:rsidR="000F225A" w:rsidRPr="0039344A" w:rsidRDefault="000F225A" w:rsidP="00B10560">
            <w:pPr>
              <w:tabs>
                <w:tab w:val="left" w:pos="5660"/>
              </w:tabs>
              <w:rPr>
                <w:rFonts w:ascii="Cambria" w:hAnsi="Cambria" w:cs="Arial"/>
                <w:bCs/>
                <w:sz w:val="28"/>
                <w:szCs w:val="24"/>
                <w:lang w:val="en-US"/>
              </w:rPr>
            </w:pPr>
          </w:p>
        </w:tc>
        <w:tc>
          <w:tcPr>
            <w:tcW w:w="5466" w:type="dxa"/>
          </w:tcPr>
          <w:p w14:paraId="2773B4B3" w14:textId="77777777" w:rsidR="00B10560" w:rsidRPr="0039344A" w:rsidRDefault="00B10560" w:rsidP="00B10560">
            <w:pPr>
              <w:tabs>
                <w:tab w:val="left" w:pos="5660"/>
                <w:tab w:val="right" w:pos="9571"/>
              </w:tabs>
              <w:rPr>
                <w:rFonts w:ascii="Cambria" w:hAnsi="Cambria"/>
                <w:bCs/>
                <w:sz w:val="26"/>
                <w:szCs w:val="26"/>
                <w:lang w:val="en-US"/>
              </w:rPr>
            </w:pPr>
          </w:p>
        </w:tc>
      </w:tr>
      <w:tr w:rsidR="00A2099C" w:rsidRPr="0039344A" w14:paraId="64151B13" w14:textId="77777777" w:rsidTr="00E76FD3">
        <w:tc>
          <w:tcPr>
            <w:tcW w:w="9606" w:type="dxa"/>
            <w:gridSpan w:val="2"/>
          </w:tcPr>
          <w:p w14:paraId="3E9F9F11" w14:textId="77777777" w:rsidR="00A2099C" w:rsidRPr="0039344A" w:rsidRDefault="00A2099C" w:rsidP="000F225A">
            <w:pPr>
              <w:rPr>
                <w:rFonts w:eastAsia="SimSun" w:cs="Arial"/>
                <w:b/>
                <w:bCs/>
                <w:sz w:val="24"/>
                <w:szCs w:val="24"/>
              </w:rPr>
            </w:pPr>
            <w:r w:rsidRPr="0039344A">
              <w:rPr>
                <w:rFonts w:eastAsia="SimSun" w:cs="Arial"/>
                <w:b/>
                <w:bCs/>
                <w:sz w:val="24"/>
                <w:szCs w:val="24"/>
              </w:rPr>
              <w:t xml:space="preserve">Objectives </w:t>
            </w:r>
          </w:p>
          <w:p w14:paraId="5BD40365" w14:textId="77777777" w:rsidR="00A2099C" w:rsidRPr="0039344A" w:rsidRDefault="00A2099C" w:rsidP="000F225A">
            <w:pPr>
              <w:spacing w:line="276" w:lineRule="auto"/>
              <w:rPr>
                <w:b/>
                <w:bCs/>
                <w:sz w:val="22"/>
                <w:szCs w:val="22"/>
              </w:rPr>
            </w:pPr>
          </w:p>
          <w:p w14:paraId="721BF811" w14:textId="0FED3D59" w:rsidR="00A2099C" w:rsidRPr="0039344A" w:rsidRDefault="00A2099C" w:rsidP="000F225A">
            <w:pPr>
              <w:pStyle w:val="ListParagraph"/>
              <w:numPr>
                <w:ilvl w:val="0"/>
                <w:numId w:val="17"/>
              </w:numPr>
              <w:spacing w:line="276" w:lineRule="auto"/>
              <w:rPr>
                <w:sz w:val="22"/>
                <w:szCs w:val="22"/>
              </w:rPr>
            </w:pPr>
            <w:r w:rsidRPr="0039344A">
              <w:rPr>
                <w:sz w:val="22"/>
                <w:szCs w:val="22"/>
              </w:rPr>
              <w:t>Gain a greater strategic understanding of how EQH/URB/CED work</w:t>
            </w:r>
            <w:r w:rsidR="00B42FE1" w:rsidRPr="0039344A">
              <w:rPr>
                <w:sz w:val="22"/>
                <w:szCs w:val="22"/>
              </w:rPr>
              <w:t xml:space="preserve"> areas</w:t>
            </w:r>
            <w:r w:rsidRPr="0039344A">
              <w:rPr>
                <w:sz w:val="22"/>
                <w:szCs w:val="22"/>
              </w:rPr>
              <w:t xml:space="preserve"> are positioned in WHO and in public health more generally</w:t>
            </w:r>
          </w:p>
          <w:p w14:paraId="68DFFDE4" w14:textId="7B6D3F0F" w:rsidR="00B42FE1" w:rsidRPr="0039344A" w:rsidRDefault="00B42FE1" w:rsidP="000F225A">
            <w:pPr>
              <w:pStyle w:val="ListParagraph"/>
              <w:numPr>
                <w:ilvl w:val="0"/>
                <w:numId w:val="17"/>
              </w:numPr>
              <w:spacing w:line="276" w:lineRule="auto"/>
              <w:rPr>
                <w:sz w:val="22"/>
                <w:szCs w:val="22"/>
              </w:rPr>
            </w:pPr>
            <w:r w:rsidRPr="0039344A">
              <w:rPr>
                <w:sz w:val="22"/>
                <w:szCs w:val="22"/>
              </w:rPr>
              <w:t>Strengthen staff relationships across the headquarters and regional EQH/URB/CED network</w:t>
            </w:r>
          </w:p>
          <w:p w14:paraId="2086D0CA" w14:textId="0E24B9BC" w:rsidR="00914E69" w:rsidRPr="0039344A" w:rsidRDefault="00A2099C" w:rsidP="000F225A">
            <w:pPr>
              <w:pStyle w:val="ListParagraph"/>
              <w:numPr>
                <w:ilvl w:val="0"/>
                <w:numId w:val="17"/>
              </w:numPr>
              <w:spacing w:line="276" w:lineRule="auto"/>
              <w:rPr>
                <w:sz w:val="22"/>
                <w:szCs w:val="22"/>
              </w:rPr>
            </w:pPr>
            <w:r w:rsidRPr="0039344A">
              <w:rPr>
                <w:sz w:val="22"/>
                <w:szCs w:val="22"/>
              </w:rPr>
              <w:t>Discuss and review the scope of activities</w:t>
            </w:r>
            <w:r w:rsidR="00914E69" w:rsidRPr="0039344A">
              <w:rPr>
                <w:sz w:val="22"/>
                <w:szCs w:val="22"/>
              </w:rPr>
              <w:t>,</w:t>
            </w:r>
            <w:r w:rsidRPr="0039344A">
              <w:rPr>
                <w:sz w:val="22"/>
                <w:szCs w:val="22"/>
              </w:rPr>
              <w:t xml:space="preserve"> </w:t>
            </w:r>
            <w:r w:rsidR="00914E69" w:rsidRPr="0039344A">
              <w:rPr>
                <w:sz w:val="22"/>
                <w:szCs w:val="22"/>
              </w:rPr>
              <w:t>priority outputs</w:t>
            </w:r>
            <w:r w:rsidRPr="0039344A">
              <w:rPr>
                <w:sz w:val="22"/>
                <w:szCs w:val="22"/>
              </w:rPr>
              <w:t xml:space="preserve"> </w:t>
            </w:r>
            <w:r w:rsidR="00914E69" w:rsidRPr="0039344A">
              <w:rPr>
                <w:sz w:val="22"/>
                <w:szCs w:val="22"/>
              </w:rPr>
              <w:t xml:space="preserve">and </w:t>
            </w:r>
            <w:r w:rsidRPr="0039344A">
              <w:rPr>
                <w:sz w:val="22"/>
                <w:szCs w:val="22"/>
              </w:rPr>
              <w:t xml:space="preserve">key products of the EQH/URB/CED workstreams </w:t>
            </w:r>
            <w:r w:rsidR="00914E69" w:rsidRPr="0039344A">
              <w:rPr>
                <w:sz w:val="22"/>
                <w:szCs w:val="22"/>
              </w:rPr>
              <w:t>for</w:t>
            </w:r>
            <w:r w:rsidRPr="0039344A">
              <w:rPr>
                <w:sz w:val="22"/>
                <w:szCs w:val="22"/>
              </w:rPr>
              <w:t xml:space="preserve"> 2023</w:t>
            </w:r>
            <w:r w:rsidR="00D942D8" w:rsidRPr="0039344A">
              <w:rPr>
                <w:sz w:val="22"/>
                <w:szCs w:val="22"/>
              </w:rPr>
              <w:t xml:space="preserve"> and forthcoming 20</w:t>
            </w:r>
            <w:r w:rsidR="00B42FE1" w:rsidRPr="0039344A">
              <w:rPr>
                <w:sz w:val="22"/>
                <w:szCs w:val="22"/>
              </w:rPr>
              <w:t>24</w:t>
            </w:r>
            <w:r w:rsidR="00D942D8" w:rsidRPr="0039344A">
              <w:rPr>
                <w:sz w:val="22"/>
                <w:szCs w:val="22"/>
              </w:rPr>
              <w:t>/25 biennium</w:t>
            </w:r>
          </w:p>
          <w:p w14:paraId="6D041E47" w14:textId="5A36F81D" w:rsidR="00A2099C" w:rsidRPr="0039344A" w:rsidRDefault="00914E69" w:rsidP="000F225A">
            <w:pPr>
              <w:pStyle w:val="ListParagraph"/>
              <w:numPr>
                <w:ilvl w:val="0"/>
                <w:numId w:val="17"/>
              </w:numPr>
              <w:spacing w:line="276" w:lineRule="auto"/>
              <w:rPr>
                <w:sz w:val="22"/>
                <w:szCs w:val="22"/>
              </w:rPr>
            </w:pPr>
            <w:r w:rsidRPr="0039344A">
              <w:rPr>
                <w:sz w:val="22"/>
                <w:szCs w:val="22"/>
              </w:rPr>
              <w:t xml:space="preserve">Develop a shared understanding of </w:t>
            </w:r>
            <w:r w:rsidR="00A2099C" w:rsidRPr="0039344A">
              <w:rPr>
                <w:sz w:val="22"/>
                <w:szCs w:val="22"/>
              </w:rPr>
              <w:t xml:space="preserve">how </w:t>
            </w:r>
            <w:r w:rsidRPr="0039344A">
              <w:rPr>
                <w:sz w:val="22"/>
                <w:szCs w:val="22"/>
              </w:rPr>
              <w:t xml:space="preserve">EQH/URB/CED outputs and products </w:t>
            </w:r>
            <w:r w:rsidR="00A2099C" w:rsidRPr="0039344A">
              <w:rPr>
                <w:sz w:val="22"/>
                <w:szCs w:val="22"/>
              </w:rPr>
              <w:t>link to</w:t>
            </w:r>
            <w:r w:rsidRPr="0039344A">
              <w:rPr>
                <w:sz w:val="22"/>
                <w:szCs w:val="22"/>
              </w:rPr>
              <w:t xml:space="preserve"> each other </w:t>
            </w:r>
            <w:r w:rsidR="00A2099C" w:rsidRPr="0039344A">
              <w:rPr>
                <w:sz w:val="22"/>
                <w:szCs w:val="22"/>
              </w:rPr>
              <w:t xml:space="preserve">and to the work of other departments </w:t>
            </w:r>
          </w:p>
          <w:p w14:paraId="709375A4" w14:textId="31F61539" w:rsidR="00A2099C" w:rsidRPr="0039344A" w:rsidRDefault="00A2099C" w:rsidP="000F225A">
            <w:pPr>
              <w:pStyle w:val="ListParagraph"/>
              <w:numPr>
                <w:ilvl w:val="0"/>
                <w:numId w:val="17"/>
              </w:numPr>
              <w:spacing w:line="276" w:lineRule="auto"/>
              <w:rPr>
                <w:b/>
                <w:bCs/>
                <w:sz w:val="22"/>
                <w:szCs w:val="22"/>
              </w:rPr>
            </w:pPr>
            <w:r w:rsidRPr="0039344A">
              <w:rPr>
                <w:sz w:val="22"/>
                <w:szCs w:val="22"/>
              </w:rPr>
              <w:t xml:space="preserve">Identify concrete </w:t>
            </w:r>
            <w:r w:rsidR="00B42FE1" w:rsidRPr="0039344A">
              <w:rPr>
                <w:sz w:val="22"/>
                <w:szCs w:val="22"/>
              </w:rPr>
              <w:t xml:space="preserve">joint </w:t>
            </w:r>
            <w:r w:rsidRPr="0039344A">
              <w:rPr>
                <w:sz w:val="22"/>
                <w:szCs w:val="22"/>
              </w:rPr>
              <w:t>activities</w:t>
            </w:r>
            <w:r w:rsidR="00B42FE1" w:rsidRPr="0039344A">
              <w:rPr>
                <w:sz w:val="22"/>
                <w:szCs w:val="22"/>
              </w:rPr>
              <w:t xml:space="preserve"> on EQH/URB/CED</w:t>
            </w:r>
            <w:r w:rsidRPr="0039344A">
              <w:rPr>
                <w:sz w:val="22"/>
                <w:szCs w:val="22"/>
              </w:rPr>
              <w:t xml:space="preserve"> to be undertaken by HQ and regions </w:t>
            </w:r>
            <w:r w:rsidR="00914E69" w:rsidRPr="0039344A">
              <w:rPr>
                <w:sz w:val="22"/>
                <w:szCs w:val="22"/>
              </w:rPr>
              <w:t xml:space="preserve">in order to increase </w:t>
            </w:r>
            <w:r w:rsidR="00B42FE1" w:rsidRPr="0039344A">
              <w:rPr>
                <w:sz w:val="22"/>
                <w:szCs w:val="22"/>
              </w:rPr>
              <w:t xml:space="preserve">country </w:t>
            </w:r>
            <w:r w:rsidR="00914E69" w:rsidRPr="0039344A">
              <w:rPr>
                <w:sz w:val="22"/>
                <w:szCs w:val="22"/>
              </w:rPr>
              <w:t>impact</w:t>
            </w:r>
            <w:r w:rsidR="00914E69" w:rsidRPr="0039344A">
              <w:rPr>
                <w:b/>
                <w:bCs/>
                <w:sz w:val="22"/>
                <w:szCs w:val="22"/>
              </w:rPr>
              <w:t xml:space="preserve"> </w:t>
            </w:r>
          </w:p>
        </w:tc>
      </w:tr>
      <w:tr w:rsidR="00B10560" w:rsidRPr="0039344A" w14:paraId="60F7DF6B" w14:textId="77777777" w:rsidTr="004D0C35">
        <w:tc>
          <w:tcPr>
            <w:tcW w:w="4140" w:type="dxa"/>
          </w:tcPr>
          <w:p w14:paraId="0883A3E2" w14:textId="4147447A" w:rsidR="00A2099C" w:rsidRPr="0039344A" w:rsidRDefault="00A2099C" w:rsidP="000F225A">
            <w:pPr>
              <w:spacing w:line="276" w:lineRule="auto"/>
              <w:rPr>
                <w:b/>
                <w:bCs/>
                <w:sz w:val="22"/>
                <w:szCs w:val="22"/>
              </w:rPr>
            </w:pPr>
            <w:r w:rsidRPr="0039344A">
              <w:rPr>
                <w:b/>
                <w:bCs/>
                <w:sz w:val="22"/>
                <w:szCs w:val="22"/>
              </w:rPr>
              <w:t xml:space="preserve"> </w:t>
            </w:r>
          </w:p>
        </w:tc>
        <w:tc>
          <w:tcPr>
            <w:tcW w:w="5466" w:type="dxa"/>
          </w:tcPr>
          <w:p w14:paraId="3D32CD39" w14:textId="77777777" w:rsidR="00B10560" w:rsidRPr="0039344A" w:rsidRDefault="00B10560" w:rsidP="000F225A">
            <w:pPr>
              <w:tabs>
                <w:tab w:val="right" w:pos="9571"/>
              </w:tabs>
              <w:spacing w:line="276" w:lineRule="auto"/>
              <w:rPr>
                <w:b/>
                <w:bCs/>
                <w:sz w:val="22"/>
                <w:szCs w:val="22"/>
              </w:rPr>
            </w:pPr>
          </w:p>
        </w:tc>
      </w:tr>
    </w:tbl>
    <w:p w14:paraId="43563310" w14:textId="77777777" w:rsidR="00023B52" w:rsidRPr="0039344A" w:rsidRDefault="00023B52" w:rsidP="000F225A">
      <w:pPr>
        <w:rPr>
          <w:rFonts w:cs="Arial"/>
          <w:b/>
          <w:bCs/>
          <w:sz w:val="22"/>
          <w:szCs w:val="22"/>
        </w:rPr>
      </w:pPr>
    </w:p>
    <w:p w14:paraId="0EED7E14" w14:textId="3063815D" w:rsidR="007E763B" w:rsidRPr="0039344A" w:rsidRDefault="007E763B" w:rsidP="007E763B">
      <w:pPr>
        <w:jc w:val="center"/>
        <w:rPr>
          <w:rFonts w:eastAsia="SimSun" w:cs="Arial"/>
          <w:b/>
          <w:bCs/>
          <w:sz w:val="24"/>
          <w:szCs w:val="24"/>
        </w:rPr>
      </w:pPr>
      <w:r w:rsidRPr="0039344A">
        <w:rPr>
          <w:rFonts w:eastAsia="SimSun" w:cs="Arial"/>
          <w:b/>
          <w:bCs/>
          <w:sz w:val="24"/>
          <w:szCs w:val="24"/>
        </w:rPr>
        <w:t>PROVISIONAL PROGRAMME</w:t>
      </w:r>
      <w:r w:rsidR="00C45F8F" w:rsidRPr="0039344A">
        <w:rPr>
          <w:rFonts w:eastAsia="SimSun" w:cs="Arial"/>
          <w:b/>
          <w:bCs/>
          <w:sz w:val="24"/>
          <w:szCs w:val="24"/>
        </w:rPr>
        <w:t xml:space="preserve"> </w:t>
      </w:r>
    </w:p>
    <w:p w14:paraId="480A809C" w14:textId="77777777" w:rsidR="007E763B" w:rsidRPr="0039344A" w:rsidRDefault="007E763B" w:rsidP="007E763B">
      <w:pPr>
        <w:pStyle w:val="Default"/>
        <w:jc w:val="both"/>
        <w:rPr>
          <w:rFonts w:cs="Arial"/>
          <w:color w:val="auto"/>
          <w:sz w:val="22"/>
          <w:szCs w:val="22"/>
        </w:rPr>
      </w:pPr>
    </w:p>
    <w:tbl>
      <w:tblPr>
        <w:tblW w:w="5000" w:type="pct"/>
        <w:tblLook w:val="01E0" w:firstRow="1" w:lastRow="1" w:firstColumn="1" w:lastColumn="1" w:noHBand="0" w:noVBand="0"/>
      </w:tblPr>
      <w:tblGrid>
        <w:gridCol w:w="1348"/>
        <w:gridCol w:w="92"/>
        <w:gridCol w:w="6096"/>
        <w:gridCol w:w="292"/>
        <w:gridCol w:w="1527"/>
      </w:tblGrid>
      <w:tr w:rsidR="00AD2329" w:rsidRPr="0039344A" w14:paraId="391E24CF" w14:textId="03695B4A" w:rsidTr="003E3B22">
        <w:trPr>
          <w:trHeight w:val="370"/>
        </w:trPr>
        <w:tc>
          <w:tcPr>
            <w:tcW w:w="4184" w:type="pct"/>
            <w:gridSpan w:val="4"/>
            <w:shd w:val="clear" w:color="auto" w:fill="auto"/>
          </w:tcPr>
          <w:p w14:paraId="5B845F9B" w14:textId="5FBA6707" w:rsidR="00AD2329" w:rsidRPr="0039344A" w:rsidRDefault="00AD2329" w:rsidP="00426F07">
            <w:pPr>
              <w:shd w:val="clear" w:color="auto" w:fill="DDD9C3" w:themeFill="background2" w:themeFillShade="E6"/>
              <w:spacing w:after="240" w:line="276" w:lineRule="auto"/>
              <w:rPr>
                <w:b/>
                <w:bCs/>
                <w:sz w:val="22"/>
                <w:szCs w:val="22"/>
              </w:rPr>
            </w:pPr>
            <w:r w:rsidRPr="0039344A">
              <w:rPr>
                <w:b/>
                <w:bCs/>
                <w:sz w:val="22"/>
                <w:szCs w:val="22"/>
              </w:rPr>
              <w:t>DAY 1: Tuesday 25 April 2023</w:t>
            </w:r>
          </w:p>
          <w:p w14:paraId="005493DB" w14:textId="2895EB4C" w:rsidR="00AD2329" w:rsidRPr="0039344A" w:rsidRDefault="00AD2329" w:rsidP="00426F07">
            <w:pPr>
              <w:spacing w:after="240" w:line="276" w:lineRule="auto"/>
              <w:rPr>
                <w:b/>
                <w:bCs/>
                <w:sz w:val="22"/>
                <w:szCs w:val="22"/>
              </w:rPr>
            </w:pPr>
            <w:r w:rsidRPr="0039344A">
              <w:rPr>
                <w:b/>
                <w:bCs/>
                <w:sz w:val="22"/>
                <w:szCs w:val="22"/>
              </w:rPr>
              <w:t>Location: M505</w:t>
            </w:r>
          </w:p>
        </w:tc>
        <w:tc>
          <w:tcPr>
            <w:tcW w:w="816" w:type="pct"/>
          </w:tcPr>
          <w:p w14:paraId="7BDFD575" w14:textId="2796ABE9" w:rsidR="00AD2329" w:rsidRPr="0039344A" w:rsidRDefault="00AD2329" w:rsidP="00426F07">
            <w:pPr>
              <w:shd w:val="clear" w:color="auto" w:fill="DDD9C3" w:themeFill="background2" w:themeFillShade="E6"/>
              <w:spacing w:after="240" w:line="276" w:lineRule="auto"/>
              <w:rPr>
                <w:b/>
                <w:bCs/>
                <w:sz w:val="22"/>
                <w:szCs w:val="22"/>
              </w:rPr>
            </w:pPr>
            <w:r>
              <w:rPr>
                <w:b/>
                <w:bCs/>
                <w:sz w:val="22"/>
                <w:szCs w:val="22"/>
              </w:rPr>
              <w:t>Lead</w:t>
            </w:r>
          </w:p>
        </w:tc>
      </w:tr>
      <w:tr w:rsidR="00AD2329" w:rsidRPr="0039344A" w14:paraId="0F4BF4BB" w14:textId="6EB5CF98" w:rsidTr="003E3B22">
        <w:trPr>
          <w:trHeight w:val="1048"/>
        </w:trPr>
        <w:tc>
          <w:tcPr>
            <w:tcW w:w="721" w:type="pct"/>
            <w:shd w:val="clear" w:color="auto" w:fill="auto"/>
          </w:tcPr>
          <w:p w14:paraId="5476E1A7" w14:textId="4355C6E7" w:rsidR="00AD2329" w:rsidRPr="0039344A" w:rsidRDefault="00AD2329" w:rsidP="00A9698C">
            <w:pPr>
              <w:pStyle w:val="Style11ptLinespacing15lines"/>
            </w:pPr>
            <w:r w:rsidRPr="0039344A">
              <w:t>09:00-</w:t>
            </w:r>
            <w:r w:rsidR="00891675">
              <w:t>09.45</w:t>
            </w:r>
          </w:p>
        </w:tc>
        <w:tc>
          <w:tcPr>
            <w:tcW w:w="3463" w:type="pct"/>
            <w:gridSpan w:val="3"/>
            <w:shd w:val="clear" w:color="auto" w:fill="auto"/>
          </w:tcPr>
          <w:p w14:paraId="6FBBB64E" w14:textId="77777777" w:rsidR="00AD2329" w:rsidRPr="0039344A" w:rsidRDefault="00AD2329" w:rsidP="00426F07">
            <w:pPr>
              <w:spacing w:line="276" w:lineRule="auto"/>
              <w:rPr>
                <w:b/>
                <w:bCs/>
                <w:sz w:val="22"/>
                <w:szCs w:val="22"/>
              </w:rPr>
            </w:pPr>
            <w:r w:rsidRPr="0039344A">
              <w:rPr>
                <w:b/>
                <w:bCs/>
                <w:sz w:val="22"/>
                <w:szCs w:val="22"/>
              </w:rPr>
              <w:t>Session 1: Introduction and objectives</w:t>
            </w:r>
          </w:p>
          <w:p w14:paraId="143C7F7D" w14:textId="77777777" w:rsidR="00AD2329" w:rsidRDefault="00AD2329" w:rsidP="00AD2329">
            <w:pPr>
              <w:spacing w:after="240" w:line="276" w:lineRule="auto"/>
              <w:rPr>
                <w:i/>
                <w:iCs/>
                <w:sz w:val="22"/>
                <w:szCs w:val="22"/>
              </w:rPr>
            </w:pPr>
            <w:r w:rsidRPr="0039344A">
              <w:rPr>
                <w:i/>
                <w:iCs/>
                <w:sz w:val="22"/>
                <w:szCs w:val="22"/>
              </w:rPr>
              <w:t>This session will present the overview of the sessions throughout the three days, discuss the objectives of the retreat; review the expectations from the participants. It will also include an ‘ice-breaker’ exercise.</w:t>
            </w:r>
          </w:p>
          <w:p w14:paraId="45B97220" w14:textId="0913F6F0" w:rsidR="008B6972" w:rsidRPr="0039344A" w:rsidRDefault="008B6972" w:rsidP="00AD2329">
            <w:pPr>
              <w:spacing w:after="240" w:line="276" w:lineRule="auto"/>
              <w:rPr>
                <w:bCs/>
                <w:sz w:val="22"/>
                <w:szCs w:val="22"/>
              </w:rPr>
            </w:pPr>
            <w:r>
              <w:rPr>
                <w:bCs/>
                <w:sz w:val="22"/>
                <w:szCs w:val="22"/>
              </w:rPr>
              <w:t xml:space="preserve">Rapporteur: </w:t>
            </w:r>
            <w:r w:rsidRPr="0039344A">
              <w:rPr>
                <w:b/>
                <w:bCs/>
                <w:sz w:val="22"/>
                <w:szCs w:val="22"/>
              </w:rPr>
              <w:t>HQ/CED</w:t>
            </w:r>
          </w:p>
        </w:tc>
        <w:tc>
          <w:tcPr>
            <w:tcW w:w="816" w:type="pct"/>
          </w:tcPr>
          <w:p w14:paraId="1E107A81" w14:textId="77777777" w:rsidR="00AD2329" w:rsidRDefault="00AD2329" w:rsidP="00426F07">
            <w:pPr>
              <w:spacing w:line="276" w:lineRule="auto"/>
              <w:rPr>
                <w:b/>
                <w:bCs/>
                <w:sz w:val="22"/>
                <w:szCs w:val="22"/>
              </w:rPr>
            </w:pPr>
            <w:r>
              <w:rPr>
                <w:b/>
                <w:bCs/>
                <w:sz w:val="22"/>
                <w:szCs w:val="22"/>
              </w:rPr>
              <w:t>E. Krug</w:t>
            </w:r>
          </w:p>
          <w:p w14:paraId="021F6B15" w14:textId="77777777" w:rsidR="003A49C2" w:rsidRDefault="003A49C2" w:rsidP="00426F07">
            <w:pPr>
              <w:spacing w:line="276" w:lineRule="auto"/>
              <w:rPr>
                <w:b/>
                <w:bCs/>
                <w:sz w:val="22"/>
                <w:szCs w:val="22"/>
              </w:rPr>
            </w:pPr>
          </w:p>
          <w:p w14:paraId="4FE9DB8D" w14:textId="5DF48E24" w:rsidR="005D6BE3" w:rsidRPr="0039344A" w:rsidRDefault="005D6BE3" w:rsidP="00426F07">
            <w:pPr>
              <w:spacing w:line="276" w:lineRule="auto"/>
              <w:rPr>
                <w:b/>
                <w:bCs/>
                <w:sz w:val="22"/>
                <w:szCs w:val="22"/>
              </w:rPr>
            </w:pPr>
          </w:p>
        </w:tc>
      </w:tr>
      <w:tr w:rsidR="00AD2329" w:rsidRPr="0039344A" w14:paraId="10A30462" w14:textId="47DCD60F" w:rsidTr="003E3B22">
        <w:trPr>
          <w:trHeight w:val="1048"/>
        </w:trPr>
        <w:tc>
          <w:tcPr>
            <w:tcW w:w="721" w:type="pct"/>
            <w:shd w:val="clear" w:color="auto" w:fill="auto"/>
          </w:tcPr>
          <w:p w14:paraId="55911196" w14:textId="53E9A63C" w:rsidR="00AD2329" w:rsidRDefault="00891675" w:rsidP="00A9698C">
            <w:pPr>
              <w:pStyle w:val="Style11ptLinespacing15lines"/>
            </w:pPr>
            <w:r>
              <w:t>09.45</w:t>
            </w:r>
            <w:r w:rsidR="00AD2329">
              <w:t>-</w:t>
            </w:r>
            <w:r>
              <w:t>10.</w:t>
            </w:r>
            <w:r w:rsidR="00BF7005">
              <w:t>15</w:t>
            </w:r>
          </w:p>
          <w:p w14:paraId="383E5132" w14:textId="53B15830" w:rsidR="00891675" w:rsidRPr="0039344A" w:rsidRDefault="00891675" w:rsidP="00A9698C">
            <w:pPr>
              <w:pStyle w:val="Style11ptLinespacing15lines"/>
            </w:pPr>
          </w:p>
        </w:tc>
        <w:tc>
          <w:tcPr>
            <w:tcW w:w="3463" w:type="pct"/>
            <w:gridSpan w:val="3"/>
            <w:shd w:val="clear" w:color="auto" w:fill="auto"/>
          </w:tcPr>
          <w:p w14:paraId="5FA58785" w14:textId="2AA7FF71" w:rsidR="00AD2329" w:rsidRDefault="00AD2329" w:rsidP="00426F07">
            <w:pPr>
              <w:spacing w:line="276" w:lineRule="auto"/>
              <w:rPr>
                <w:b/>
                <w:bCs/>
                <w:sz w:val="22"/>
                <w:szCs w:val="22"/>
              </w:rPr>
            </w:pPr>
            <w:r>
              <w:rPr>
                <w:b/>
                <w:bCs/>
                <w:sz w:val="22"/>
                <w:szCs w:val="22"/>
              </w:rPr>
              <w:t>Session 2a: Overview of Global and Regional Activities</w:t>
            </w:r>
          </w:p>
          <w:p w14:paraId="68C4088A" w14:textId="77777777" w:rsidR="00891675" w:rsidRDefault="00227E9A" w:rsidP="00227E9A">
            <w:pPr>
              <w:spacing w:line="276" w:lineRule="auto"/>
              <w:rPr>
                <w:i/>
                <w:iCs/>
                <w:sz w:val="22"/>
                <w:szCs w:val="22"/>
              </w:rPr>
            </w:pPr>
            <w:r>
              <w:rPr>
                <w:i/>
                <w:iCs/>
                <w:sz w:val="22"/>
                <w:szCs w:val="22"/>
              </w:rPr>
              <w:t xml:space="preserve">This session will present an overview of WHO’s global </w:t>
            </w:r>
            <w:r w:rsidR="00891675">
              <w:rPr>
                <w:i/>
                <w:iCs/>
                <w:sz w:val="22"/>
                <w:szCs w:val="22"/>
              </w:rPr>
              <w:t>equity</w:t>
            </w:r>
            <w:r w:rsidR="00891675" w:rsidRPr="00891675">
              <w:rPr>
                <w:i/>
                <w:iCs/>
                <w:sz w:val="22"/>
                <w:szCs w:val="22"/>
              </w:rPr>
              <w:t xml:space="preserve"> and </w:t>
            </w:r>
            <w:r w:rsidR="00891675">
              <w:rPr>
                <w:i/>
                <w:iCs/>
                <w:sz w:val="22"/>
                <w:szCs w:val="22"/>
              </w:rPr>
              <w:t>health,</w:t>
            </w:r>
            <w:r w:rsidR="00891675" w:rsidRPr="00891675">
              <w:rPr>
                <w:i/>
                <w:iCs/>
                <w:sz w:val="22"/>
                <w:szCs w:val="22"/>
              </w:rPr>
              <w:t xml:space="preserve"> economic and commercial determinants of health</w:t>
            </w:r>
            <w:r w:rsidR="00891675">
              <w:rPr>
                <w:i/>
                <w:iCs/>
                <w:sz w:val="22"/>
                <w:szCs w:val="22"/>
              </w:rPr>
              <w:t xml:space="preserve"> and </w:t>
            </w:r>
            <w:r w:rsidR="00891675" w:rsidRPr="00891675">
              <w:rPr>
                <w:i/>
                <w:iCs/>
                <w:sz w:val="22"/>
                <w:szCs w:val="22"/>
              </w:rPr>
              <w:t>urban health</w:t>
            </w:r>
            <w:r w:rsidR="00891675">
              <w:rPr>
                <w:i/>
                <w:iCs/>
                <w:sz w:val="22"/>
                <w:szCs w:val="22"/>
              </w:rPr>
              <w:t xml:space="preserve"> efforts and discussion.</w:t>
            </w:r>
          </w:p>
          <w:p w14:paraId="6B9E3A2A" w14:textId="77777777" w:rsidR="008B6972" w:rsidRDefault="008B6972" w:rsidP="00227E9A">
            <w:pPr>
              <w:spacing w:line="276" w:lineRule="auto"/>
              <w:rPr>
                <w:i/>
                <w:iCs/>
                <w:sz w:val="22"/>
                <w:szCs w:val="22"/>
              </w:rPr>
            </w:pPr>
          </w:p>
          <w:p w14:paraId="5F8200F7" w14:textId="63E90991" w:rsidR="008B6972" w:rsidRDefault="008B6972" w:rsidP="00227E9A">
            <w:pPr>
              <w:spacing w:line="276" w:lineRule="auto"/>
              <w:rPr>
                <w:i/>
                <w:iCs/>
                <w:sz w:val="22"/>
                <w:szCs w:val="22"/>
              </w:rPr>
            </w:pPr>
            <w:r>
              <w:rPr>
                <w:bCs/>
                <w:sz w:val="22"/>
                <w:szCs w:val="22"/>
              </w:rPr>
              <w:t xml:space="preserve">Rapporteur: </w:t>
            </w:r>
            <w:r w:rsidRPr="0039344A">
              <w:rPr>
                <w:b/>
                <w:bCs/>
                <w:sz w:val="22"/>
                <w:szCs w:val="22"/>
              </w:rPr>
              <w:t>HQ/</w:t>
            </w:r>
            <w:r>
              <w:rPr>
                <w:b/>
                <w:bCs/>
                <w:sz w:val="22"/>
                <w:szCs w:val="22"/>
              </w:rPr>
              <w:t>EQH</w:t>
            </w:r>
          </w:p>
          <w:p w14:paraId="49BDC7B3" w14:textId="4893CA48" w:rsidR="00AD2329" w:rsidRPr="00227E9A" w:rsidRDefault="00227E9A" w:rsidP="00227E9A">
            <w:pPr>
              <w:spacing w:line="276" w:lineRule="auto"/>
              <w:rPr>
                <w:b/>
                <w:bCs/>
                <w:sz w:val="22"/>
                <w:szCs w:val="22"/>
              </w:rPr>
            </w:pPr>
            <w:r w:rsidRPr="00227E9A">
              <w:rPr>
                <w:b/>
                <w:bCs/>
                <w:sz w:val="22"/>
                <w:szCs w:val="22"/>
              </w:rPr>
              <w:t xml:space="preserve">    </w:t>
            </w:r>
          </w:p>
        </w:tc>
        <w:tc>
          <w:tcPr>
            <w:tcW w:w="816" w:type="pct"/>
          </w:tcPr>
          <w:p w14:paraId="7E0CE90B" w14:textId="7A6A3C23" w:rsidR="00AD2329" w:rsidRDefault="00891675" w:rsidP="00426F07">
            <w:pPr>
              <w:spacing w:line="276" w:lineRule="auto"/>
              <w:rPr>
                <w:b/>
                <w:bCs/>
                <w:sz w:val="22"/>
                <w:szCs w:val="22"/>
              </w:rPr>
            </w:pPr>
            <w:r>
              <w:rPr>
                <w:b/>
                <w:bCs/>
                <w:sz w:val="22"/>
                <w:szCs w:val="22"/>
              </w:rPr>
              <w:t>E. Krug</w:t>
            </w:r>
          </w:p>
        </w:tc>
      </w:tr>
      <w:tr w:rsidR="000B5F70" w:rsidRPr="0039344A" w14:paraId="5694CA8B" w14:textId="77777777" w:rsidTr="003E3B22">
        <w:trPr>
          <w:trHeight w:val="425"/>
        </w:trPr>
        <w:tc>
          <w:tcPr>
            <w:tcW w:w="721" w:type="pct"/>
            <w:shd w:val="clear" w:color="auto" w:fill="EEECE1" w:themeFill="background2"/>
          </w:tcPr>
          <w:p w14:paraId="2AA8291F" w14:textId="79243AE1" w:rsidR="000B5F70" w:rsidRPr="0039344A" w:rsidRDefault="00607081" w:rsidP="00A9698C">
            <w:pPr>
              <w:pStyle w:val="Style11ptLinespacing15lines"/>
            </w:pPr>
            <w:r>
              <w:t>10.</w:t>
            </w:r>
            <w:r w:rsidR="00962563">
              <w:t>1</w:t>
            </w:r>
            <w:r>
              <w:t>5-1</w:t>
            </w:r>
            <w:r w:rsidR="00962563">
              <w:t>0</w:t>
            </w:r>
            <w:r>
              <w:t>.</w:t>
            </w:r>
            <w:r w:rsidR="00962563">
              <w:t>30</w:t>
            </w:r>
          </w:p>
        </w:tc>
        <w:tc>
          <w:tcPr>
            <w:tcW w:w="3463" w:type="pct"/>
            <w:gridSpan w:val="3"/>
            <w:shd w:val="clear" w:color="auto" w:fill="EEECE1" w:themeFill="background2"/>
          </w:tcPr>
          <w:p w14:paraId="103E52CC" w14:textId="77777777" w:rsidR="000B5F70" w:rsidRPr="0039344A" w:rsidRDefault="000B5F70" w:rsidP="00A51D80">
            <w:pPr>
              <w:spacing w:line="276" w:lineRule="auto"/>
              <w:rPr>
                <w:i/>
                <w:iCs/>
                <w:sz w:val="22"/>
                <w:szCs w:val="22"/>
              </w:rPr>
            </w:pPr>
            <w:r w:rsidRPr="0039344A">
              <w:rPr>
                <w:i/>
                <w:iCs/>
                <w:sz w:val="22"/>
                <w:szCs w:val="22"/>
              </w:rPr>
              <w:t>Break</w:t>
            </w:r>
          </w:p>
        </w:tc>
        <w:tc>
          <w:tcPr>
            <w:tcW w:w="816" w:type="pct"/>
            <w:shd w:val="clear" w:color="auto" w:fill="EEECE1" w:themeFill="background2"/>
          </w:tcPr>
          <w:p w14:paraId="41FB08FE" w14:textId="77777777" w:rsidR="000B5F70" w:rsidRPr="0039344A" w:rsidRDefault="000B5F70" w:rsidP="00A51D80">
            <w:pPr>
              <w:spacing w:line="276" w:lineRule="auto"/>
              <w:rPr>
                <w:i/>
                <w:iCs/>
                <w:sz w:val="22"/>
                <w:szCs w:val="22"/>
              </w:rPr>
            </w:pPr>
          </w:p>
        </w:tc>
      </w:tr>
      <w:tr w:rsidR="00891675" w:rsidRPr="0039344A" w14:paraId="33938FDC" w14:textId="77777777" w:rsidTr="003E3B22">
        <w:trPr>
          <w:trHeight w:val="1048"/>
        </w:trPr>
        <w:tc>
          <w:tcPr>
            <w:tcW w:w="721" w:type="pct"/>
            <w:shd w:val="clear" w:color="auto" w:fill="auto"/>
          </w:tcPr>
          <w:p w14:paraId="7146995A" w14:textId="332E999E" w:rsidR="00891675" w:rsidRDefault="0017203B" w:rsidP="00A9698C">
            <w:pPr>
              <w:pStyle w:val="Style11ptLinespacing15lines"/>
            </w:pPr>
            <w:r>
              <w:lastRenderedPageBreak/>
              <w:t>1</w:t>
            </w:r>
            <w:r w:rsidR="00962563">
              <w:t>0</w:t>
            </w:r>
            <w:r>
              <w:t>.</w:t>
            </w:r>
            <w:r w:rsidR="00962563">
              <w:t>30</w:t>
            </w:r>
            <w:r>
              <w:t>-</w:t>
            </w:r>
            <w:r w:rsidR="00A02C39">
              <w:t>1</w:t>
            </w:r>
            <w:r w:rsidR="00A9698C">
              <w:t>1</w:t>
            </w:r>
            <w:r w:rsidR="00A02C39">
              <w:t>.</w:t>
            </w:r>
            <w:r w:rsidR="00505CF6">
              <w:t>45</w:t>
            </w:r>
          </w:p>
        </w:tc>
        <w:tc>
          <w:tcPr>
            <w:tcW w:w="3463" w:type="pct"/>
            <w:gridSpan w:val="3"/>
            <w:shd w:val="clear" w:color="auto" w:fill="auto"/>
          </w:tcPr>
          <w:p w14:paraId="570DB041" w14:textId="00B1B448" w:rsidR="00607081" w:rsidRDefault="00607081" w:rsidP="00607081">
            <w:pPr>
              <w:spacing w:line="276" w:lineRule="auto"/>
              <w:rPr>
                <w:b/>
                <w:bCs/>
                <w:sz w:val="22"/>
                <w:szCs w:val="22"/>
              </w:rPr>
            </w:pPr>
            <w:r>
              <w:rPr>
                <w:b/>
                <w:bCs/>
                <w:sz w:val="22"/>
                <w:szCs w:val="22"/>
              </w:rPr>
              <w:t>Session 2b: Overview of Global and Regional Activities</w:t>
            </w:r>
          </w:p>
          <w:p w14:paraId="35E120B6" w14:textId="77777777" w:rsidR="00A02C39" w:rsidRDefault="00A02C39" w:rsidP="00A02C39">
            <w:pPr>
              <w:spacing w:line="276" w:lineRule="auto"/>
              <w:rPr>
                <w:i/>
                <w:iCs/>
                <w:sz w:val="22"/>
                <w:szCs w:val="22"/>
              </w:rPr>
            </w:pPr>
            <w:r>
              <w:rPr>
                <w:i/>
                <w:iCs/>
                <w:sz w:val="22"/>
                <w:szCs w:val="22"/>
              </w:rPr>
              <w:t>This session will present an overview of WHO’s regional equity</w:t>
            </w:r>
            <w:r w:rsidRPr="00891675">
              <w:rPr>
                <w:i/>
                <w:iCs/>
                <w:sz w:val="22"/>
                <w:szCs w:val="22"/>
              </w:rPr>
              <w:t xml:space="preserve"> and </w:t>
            </w:r>
            <w:r>
              <w:rPr>
                <w:i/>
                <w:iCs/>
                <w:sz w:val="22"/>
                <w:szCs w:val="22"/>
              </w:rPr>
              <w:t>health,</w:t>
            </w:r>
            <w:r w:rsidRPr="00891675">
              <w:rPr>
                <w:i/>
                <w:iCs/>
                <w:sz w:val="22"/>
                <w:szCs w:val="22"/>
              </w:rPr>
              <w:t xml:space="preserve"> economic and commercial determinants of health</w:t>
            </w:r>
            <w:r>
              <w:rPr>
                <w:i/>
                <w:iCs/>
                <w:sz w:val="22"/>
                <w:szCs w:val="22"/>
              </w:rPr>
              <w:t xml:space="preserve"> and </w:t>
            </w:r>
            <w:r w:rsidRPr="00891675">
              <w:rPr>
                <w:i/>
                <w:iCs/>
                <w:sz w:val="22"/>
                <w:szCs w:val="22"/>
              </w:rPr>
              <w:t>urban health</w:t>
            </w:r>
            <w:r>
              <w:rPr>
                <w:i/>
                <w:iCs/>
                <w:sz w:val="22"/>
                <w:szCs w:val="22"/>
              </w:rPr>
              <w:t xml:space="preserve"> efforts and discussion (10 minutes presentation + 10 minutes discussion per region).</w:t>
            </w:r>
          </w:p>
          <w:p w14:paraId="713EE4C2" w14:textId="36762184" w:rsidR="00C2479D" w:rsidRPr="00C2479D" w:rsidRDefault="00C2479D" w:rsidP="00C2479D">
            <w:pPr>
              <w:pStyle w:val="ListParagraph"/>
              <w:numPr>
                <w:ilvl w:val="0"/>
                <w:numId w:val="22"/>
              </w:numPr>
              <w:spacing w:line="276" w:lineRule="auto"/>
              <w:rPr>
                <w:i/>
                <w:iCs/>
                <w:sz w:val="22"/>
                <w:szCs w:val="22"/>
              </w:rPr>
            </w:pPr>
            <w:r>
              <w:rPr>
                <w:b/>
                <w:bCs/>
                <w:sz w:val="22"/>
                <w:szCs w:val="22"/>
              </w:rPr>
              <w:t>AFRO</w:t>
            </w:r>
          </w:p>
          <w:p w14:paraId="650BAECC" w14:textId="0927AB95" w:rsidR="00C2479D" w:rsidRPr="00C2479D" w:rsidRDefault="00C2479D" w:rsidP="00C2479D">
            <w:pPr>
              <w:pStyle w:val="ListParagraph"/>
              <w:numPr>
                <w:ilvl w:val="0"/>
                <w:numId w:val="22"/>
              </w:numPr>
              <w:spacing w:line="276" w:lineRule="auto"/>
              <w:rPr>
                <w:i/>
                <w:iCs/>
                <w:sz w:val="22"/>
                <w:szCs w:val="22"/>
              </w:rPr>
            </w:pPr>
            <w:r>
              <w:rPr>
                <w:b/>
                <w:bCs/>
                <w:sz w:val="22"/>
                <w:szCs w:val="22"/>
              </w:rPr>
              <w:t>AMRO</w:t>
            </w:r>
          </w:p>
          <w:p w14:paraId="3696EDA4" w14:textId="36D1CCB9" w:rsidR="00C2479D" w:rsidRPr="00A02C39" w:rsidRDefault="00C2479D" w:rsidP="00C2479D">
            <w:pPr>
              <w:pStyle w:val="ListParagraph"/>
              <w:numPr>
                <w:ilvl w:val="0"/>
                <w:numId w:val="22"/>
              </w:numPr>
              <w:spacing w:line="276" w:lineRule="auto"/>
              <w:rPr>
                <w:i/>
                <w:iCs/>
                <w:sz w:val="22"/>
                <w:szCs w:val="22"/>
              </w:rPr>
            </w:pPr>
            <w:r>
              <w:rPr>
                <w:b/>
                <w:bCs/>
                <w:sz w:val="22"/>
                <w:szCs w:val="22"/>
              </w:rPr>
              <w:t>EMRO</w:t>
            </w:r>
          </w:p>
          <w:p w14:paraId="4F509716" w14:textId="77777777" w:rsidR="00891675" w:rsidRDefault="00891675" w:rsidP="00426F07">
            <w:pPr>
              <w:spacing w:line="276" w:lineRule="auto"/>
              <w:rPr>
                <w:b/>
                <w:bCs/>
                <w:sz w:val="22"/>
                <w:szCs w:val="22"/>
              </w:rPr>
            </w:pPr>
          </w:p>
          <w:p w14:paraId="0CA7AC91" w14:textId="77777777" w:rsidR="008B6972" w:rsidRDefault="008B6972" w:rsidP="00426F07">
            <w:pPr>
              <w:spacing w:line="276" w:lineRule="auto"/>
              <w:rPr>
                <w:b/>
                <w:bCs/>
                <w:sz w:val="22"/>
                <w:szCs w:val="22"/>
              </w:rPr>
            </w:pPr>
            <w:r>
              <w:rPr>
                <w:bCs/>
                <w:sz w:val="22"/>
                <w:szCs w:val="22"/>
              </w:rPr>
              <w:t xml:space="preserve">Rapporteur: </w:t>
            </w:r>
            <w:r w:rsidRPr="0039344A">
              <w:rPr>
                <w:b/>
                <w:bCs/>
                <w:sz w:val="22"/>
                <w:szCs w:val="22"/>
              </w:rPr>
              <w:t>HQ/</w:t>
            </w:r>
            <w:r>
              <w:rPr>
                <w:b/>
                <w:bCs/>
                <w:sz w:val="22"/>
                <w:szCs w:val="22"/>
              </w:rPr>
              <w:t>URB</w:t>
            </w:r>
          </w:p>
          <w:p w14:paraId="3C75F55A" w14:textId="2625A13F" w:rsidR="00A02C39" w:rsidRDefault="00A02C39" w:rsidP="00426F07">
            <w:pPr>
              <w:spacing w:line="276" w:lineRule="auto"/>
              <w:rPr>
                <w:b/>
                <w:bCs/>
                <w:sz w:val="22"/>
                <w:szCs w:val="22"/>
              </w:rPr>
            </w:pPr>
          </w:p>
        </w:tc>
        <w:tc>
          <w:tcPr>
            <w:tcW w:w="816" w:type="pct"/>
          </w:tcPr>
          <w:p w14:paraId="145247A7" w14:textId="1988D42B" w:rsidR="00891675" w:rsidRDefault="009114CE" w:rsidP="00426F07">
            <w:pPr>
              <w:spacing w:line="276" w:lineRule="auto"/>
              <w:rPr>
                <w:b/>
                <w:bCs/>
                <w:sz w:val="22"/>
                <w:szCs w:val="22"/>
              </w:rPr>
            </w:pPr>
            <w:r>
              <w:rPr>
                <w:b/>
                <w:bCs/>
                <w:sz w:val="22"/>
                <w:szCs w:val="22"/>
              </w:rPr>
              <w:t>C. Brown</w:t>
            </w:r>
          </w:p>
        </w:tc>
      </w:tr>
      <w:tr w:rsidR="00A46DFC" w:rsidRPr="0039344A" w14:paraId="6909636F" w14:textId="77777777" w:rsidTr="003E3B22">
        <w:trPr>
          <w:trHeight w:val="1048"/>
        </w:trPr>
        <w:tc>
          <w:tcPr>
            <w:tcW w:w="721" w:type="pct"/>
            <w:shd w:val="clear" w:color="auto" w:fill="auto"/>
          </w:tcPr>
          <w:p w14:paraId="20F4C93C" w14:textId="63C7ADD7" w:rsidR="00A46DFC" w:rsidRDefault="00A9698C" w:rsidP="00A9698C">
            <w:pPr>
              <w:pStyle w:val="Style11ptLinespacing15lines"/>
            </w:pPr>
            <w:r>
              <w:t>11.</w:t>
            </w:r>
            <w:r w:rsidR="00505CF6">
              <w:t>45</w:t>
            </w:r>
            <w:r>
              <w:t>-12.30</w:t>
            </w:r>
          </w:p>
        </w:tc>
        <w:tc>
          <w:tcPr>
            <w:tcW w:w="3463" w:type="pct"/>
            <w:gridSpan w:val="3"/>
            <w:shd w:val="clear" w:color="auto" w:fill="auto"/>
          </w:tcPr>
          <w:p w14:paraId="23AFF719" w14:textId="3D4613EC" w:rsidR="00A46DFC" w:rsidRDefault="00A46DFC" w:rsidP="00A46DFC">
            <w:pPr>
              <w:spacing w:line="276" w:lineRule="auto"/>
              <w:rPr>
                <w:b/>
                <w:bCs/>
                <w:sz w:val="22"/>
                <w:szCs w:val="22"/>
              </w:rPr>
            </w:pPr>
            <w:r>
              <w:rPr>
                <w:b/>
                <w:bCs/>
                <w:sz w:val="22"/>
                <w:szCs w:val="22"/>
              </w:rPr>
              <w:t>Session 2c: Overview of Global and Regional Activities</w:t>
            </w:r>
          </w:p>
          <w:p w14:paraId="30A72D42" w14:textId="766C6E18" w:rsidR="00A46DFC" w:rsidRDefault="00A46DFC" w:rsidP="00A46DFC">
            <w:pPr>
              <w:spacing w:line="276" w:lineRule="auto"/>
              <w:rPr>
                <w:i/>
                <w:iCs/>
                <w:sz w:val="22"/>
                <w:szCs w:val="22"/>
              </w:rPr>
            </w:pPr>
            <w:r>
              <w:rPr>
                <w:i/>
                <w:iCs/>
                <w:sz w:val="22"/>
                <w:szCs w:val="22"/>
              </w:rPr>
              <w:t xml:space="preserve">This session will </w:t>
            </w:r>
            <w:r w:rsidR="00A9698C">
              <w:rPr>
                <w:i/>
                <w:iCs/>
                <w:sz w:val="22"/>
                <w:szCs w:val="22"/>
              </w:rPr>
              <w:t>continue the previous session</w:t>
            </w:r>
            <w:r>
              <w:rPr>
                <w:i/>
                <w:iCs/>
                <w:sz w:val="22"/>
                <w:szCs w:val="22"/>
              </w:rPr>
              <w:t xml:space="preserve"> (10 minutes presentation + 10 minutes discussion per region</w:t>
            </w:r>
            <w:r w:rsidR="00A9698C">
              <w:rPr>
                <w:i/>
                <w:iCs/>
                <w:sz w:val="22"/>
                <w:szCs w:val="22"/>
              </w:rPr>
              <w:t xml:space="preserve"> followed by group discussion</w:t>
            </w:r>
            <w:r>
              <w:rPr>
                <w:i/>
                <w:iCs/>
                <w:sz w:val="22"/>
                <w:szCs w:val="22"/>
              </w:rPr>
              <w:t>).</w:t>
            </w:r>
          </w:p>
          <w:p w14:paraId="6301ABF7" w14:textId="77777777" w:rsidR="00A46DFC" w:rsidRPr="00A02C39" w:rsidRDefault="00A46DFC" w:rsidP="00A46DFC">
            <w:pPr>
              <w:pStyle w:val="ListParagraph"/>
              <w:numPr>
                <w:ilvl w:val="0"/>
                <w:numId w:val="22"/>
              </w:numPr>
              <w:spacing w:line="276" w:lineRule="auto"/>
              <w:rPr>
                <w:i/>
                <w:iCs/>
                <w:sz w:val="22"/>
                <w:szCs w:val="22"/>
              </w:rPr>
            </w:pPr>
            <w:r>
              <w:rPr>
                <w:b/>
                <w:bCs/>
                <w:sz w:val="22"/>
                <w:szCs w:val="22"/>
              </w:rPr>
              <w:t>EURO</w:t>
            </w:r>
          </w:p>
          <w:p w14:paraId="522F1AC4" w14:textId="77777777" w:rsidR="00A46DFC" w:rsidRPr="001C1BAE" w:rsidRDefault="00A46DFC" w:rsidP="00A46DFC">
            <w:pPr>
              <w:pStyle w:val="ListParagraph"/>
              <w:numPr>
                <w:ilvl w:val="0"/>
                <w:numId w:val="22"/>
              </w:numPr>
              <w:spacing w:line="276" w:lineRule="auto"/>
              <w:rPr>
                <w:i/>
                <w:iCs/>
                <w:sz w:val="22"/>
                <w:szCs w:val="22"/>
              </w:rPr>
            </w:pPr>
            <w:r>
              <w:rPr>
                <w:b/>
                <w:bCs/>
                <w:sz w:val="22"/>
                <w:szCs w:val="22"/>
              </w:rPr>
              <w:t>WPRO</w:t>
            </w:r>
          </w:p>
          <w:p w14:paraId="7422AA97" w14:textId="77777777" w:rsidR="00A46DFC" w:rsidRDefault="00A46DFC" w:rsidP="00A46DFC">
            <w:pPr>
              <w:spacing w:line="276" w:lineRule="auto"/>
              <w:rPr>
                <w:b/>
                <w:bCs/>
                <w:sz w:val="22"/>
                <w:szCs w:val="22"/>
              </w:rPr>
            </w:pPr>
          </w:p>
          <w:p w14:paraId="70F75771" w14:textId="60BC2414" w:rsidR="00A46DFC" w:rsidRDefault="00A46DFC" w:rsidP="00A46DFC">
            <w:pPr>
              <w:spacing w:line="276" w:lineRule="auto"/>
              <w:rPr>
                <w:b/>
                <w:bCs/>
                <w:sz w:val="22"/>
                <w:szCs w:val="22"/>
              </w:rPr>
            </w:pPr>
            <w:r>
              <w:rPr>
                <w:bCs/>
                <w:sz w:val="22"/>
                <w:szCs w:val="22"/>
              </w:rPr>
              <w:t xml:space="preserve">Rapporteur: </w:t>
            </w:r>
            <w:r w:rsidRPr="0039344A">
              <w:rPr>
                <w:b/>
                <w:bCs/>
                <w:sz w:val="22"/>
                <w:szCs w:val="22"/>
              </w:rPr>
              <w:t>HQ/</w:t>
            </w:r>
            <w:r w:rsidR="00A9698C">
              <w:rPr>
                <w:b/>
                <w:bCs/>
                <w:sz w:val="22"/>
                <w:szCs w:val="22"/>
              </w:rPr>
              <w:t>CED</w:t>
            </w:r>
          </w:p>
          <w:p w14:paraId="69D8C182" w14:textId="77777777" w:rsidR="00A46DFC" w:rsidRPr="00A46DFC" w:rsidRDefault="00A46DFC" w:rsidP="00607081">
            <w:pPr>
              <w:spacing w:line="276" w:lineRule="auto"/>
              <w:rPr>
                <w:sz w:val="22"/>
                <w:szCs w:val="22"/>
              </w:rPr>
            </w:pPr>
          </w:p>
        </w:tc>
        <w:tc>
          <w:tcPr>
            <w:tcW w:w="816" w:type="pct"/>
          </w:tcPr>
          <w:p w14:paraId="3B8499B4" w14:textId="0D379923" w:rsidR="00A46DFC" w:rsidRDefault="00A9698C" w:rsidP="00426F07">
            <w:pPr>
              <w:spacing w:line="276" w:lineRule="auto"/>
              <w:rPr>
                <w:b/>
                <w:bCs/>
                <w:sz w:val="22"/>
                <w:szCs w:val="22"/>
              </w:rPr>
            </w:pPr>
            <w:r>
              <w:rPr>
                <w:b/>
                <w:bCs/>
                <w:sz w:val="22"/>
                <w:szCs w:val="22"/>
              </w:rPr>
              <w:t>M. El-Adawy</w:t>
            </w:r>
          </w:p>
        </w:tc>
      </w:tr>
      <w:tr w:rsidR="00D141CE" w:rsidRPr="0039344A" w14:paraId="0E6D1BA0" w14:textId="77777777" w:rsidTr="003E3B22">
        <w:tc>
          <w:tcPr>
            <w:tcW w:w="721" w:type="pct"/>
            <w:shd w:val="clear" w:color="auto" w:fill="EEECE1" w:themeFill="background2"/>
          </w:tcPr>
          <w:p w14:paraId="70CD9DAD" w14:textId="77777777" w:rsidR="00D141CE" w:rsidRPr="0039344A" w:rsidRDefault="00D141CE" w:rsidP="00A9698C">
            <w:pPr>
              <w:pStyle w:val="Style11ptLinespacing15lines"/>
            </w:pPr>
            <w:r w:rsidRPr="0039344A">
              <w:t>12.30-13.30</w:t>
            </w:r>
          </w:p>
        </w:tc>
        <w:tc>
          <w:tcPr>
            <w:tcW w:w="3463" w:type="pct"/>
            <w:gridSpan w:val="3"/>
            <w:shd w:val="clear" w:color="auto" w:fill="EEECE1" w:themeFill="background2"/>
          </w:tcPr>
          <w:p w14:paraId="1B26FBAC" w14:textId="77777777" w:rsidR="00D141CE" w:rsidRPr="0039344A" w:rsidRDefault="00D141CE" w:rsidP="00080937">
            <w:pPr>
              <w:spacing w:after="240" w:line="276" w:lineRule="auto"/>
              <w:rPr>
                <w:i/>
                <w:iCs/>
                <w:sz w:val="22"/>
                <w:szCs w:val="22"/>
              </w:rPr>
            </w:pPr>
            <w:r w:rsidRPr="0039344A">
              <w:rPr>
                <w:i/>
                <w:iCs/>
                <w:sz w:val="22"/>
                <w:szCs w:val="22"/>
              </w:rPr>
              <w:t>Lunch</w:t>
            </w:r>
          </w:p>
        </w:tc>
        <w:tc>
          <w:tcPr>
            <w:tcW w:w="816" w:type="pct"/>
            <w:shd w:val="clear" w:color="auto" w:fill="EEECE1" w:themeFill="background2"/>
          </w:tcPr>
          <w:p w14:paraId="4191B8D8" w14:textId="77777777" w:rsidR="00D141CE" w:rsidRPr="0039344A" w:rsidRDefault="00D141CE" w:rsidP="00080937">
            <w:pPr>
              <w:spacing w:after="240" w:line="276" w:lineRule="auto"/>
              <w:rPr>
                <w:i/>
                <w:iCs/>
                <w:sz w:val="22"/>
                <w:szCs w:val="22"/>
              </w:rPr>
            </w:pPr>
          </w:p>
        </w:tc>
      </w:tr>
      <w:tr w:rsidR="00B347C1" w:rsidRPr="0039344A" w14:paraId="25D20B45" w14:textId="77777777" w:rsidTr="003E3B22">
        <w:trPr>
          <w:trHeight w:val="80"/>
        </w:trPr>
        <w:tc>
          <w:tcPr>
            <w:tcW w:w="721" w:type="pct"/>
            <w:shd w:val="clear" w:color="auto" w:fill="auto"/>
          </w:tcPr>
          <w:p w14:paraId="4B0FB4CB" w14:textId="1C99DDCD" w:rsidR="00B347C1" w:rsidRPr="0039344A" w:rsidRDefault="00942DBE" w:rsidP="00A9698C">
            <w:pPr>
              <w:pStyle w:val="Style11ptLinespacing15lines"/>
            </w:pPr>
            <w:r>
              <w:t>14.30-15.30</w:t>
            </w:r>
          </w:p>
        </w:tc>
        <w:tc>
          <w:tcPr>
            <w:tcW w:w="3463" w:type="pct"/>
            <w:gridSpan w:val="3"/>
            <w:shd w:val="clear" w:color="auto" w:fill="auto"/>
          </w:tcPr>
          <w:p w14:paraId="09F88731" w14:textId="77777777" w:rsidR="00862371" w:rsidRPr="005248F7" w:rsidRDefault="00862371" w:rsidP="00862371">
            <w:pPr>
              <w:spacing w:line="276" w:lineRule="auto"/>
              <w:rPr>
                <w:b/>
                <w:bCs/>
                <w:sz w:val="22"/>
                <w:szCs w:val="22"/>
              </w:rPr>
            </w:pPr>
            <w:r w:rsidRPr="005248F7">
              <w:rPr>
                <w:b/>
                <w:bCs/>
                <w:sz w:val="22"/>
                <w:szCs w:val="22"/>
              </w:rPr>
              <w:t>Session 3: Strengthening country impact and support including success stories</w:t>
            </w:r>
          </w:p>
          <w:p w14:paraId="1E67202B" w14:textId="77777777" w:rsidR="00862371" w:rsidRPr="005248F7" w:rsidRDefault="00862371" w:rsidP="00862371">
            <w:pPr>
              <w:spacing w:after="240" w:line="276" w:lineRule="auto"/>
              <w:rPr>
                <w:bCs/>
                <w:i/>
                <w:iCs/>
                <w:sz w:val="22"/>
                <w:szCs w:val="22"/>
              </w:rPr>
            </w:pPr>
            <w:r w:rsidRPr="005248F7">
              <w:rPr>
                <w:bCs/>
                <w:i/>
                <w:iCs/>
                <w:sz w:val="22"/>
                <w:szCs w:val="22"/>
              </w:rPr>
              <w:t xml:space="preserve">This session will cover moving towards a strong 3-level coordination for strengthened country impact and support, as well as mapping opportunities and joint planning for 2024/2025 to share perspectives and identify regional cooperation and synergy possibilities. It will identify a priority follow-up step for each theme of capacity building </w:t>
            </w:r>
          </w:p>
          <w:p w14:paraId="7549E264" w14:textId="77777777" w:rsidR="00862371" w:rsidRPr="005248F7" w:rsidRDefault="00862371" w:rsidP="00862371">
            <w:pPr>
              <w:spacing w:after="240" w:line="276" w:lineRule="auto"/>
              <w:rPr>
                <w:b/>
                <w:bCs/>
                <w:sz w:val="22"/>
                <w:szCs w:val="22"/>
              </w:rPr>
            </w:pPr>
            <w:r w:rsidRPr="005248F7">
              <w:rPr>
                <w:sz w:val="22"/>
                <w:szCs w:val="22"/>
              </w:rPr>
              <w:t xml:space="preserve">Speakers: </w:t>
            </w:r>
          </w:p>
          <w:p w14:paraId="2E7F0F30" w14:textId="78AC79D8" w:rsidR="00862371" w:rsidRPr="005248F7" w:rsidRDefault="00862371" w:rsidP="00862371">
            <w:pPr>
              <w:pStyle w:val="ListParagraph"/>
              <w:numPr>
                <w:ilvl w:val="0"/>
                <w:numId w:val="13"/>
              </w:numPr>
              <w:spacing w:line="250" w:lineRule="auto"/>
              <w:ind w:right="194"/>
              <w:rPr>
                <w:b/>
                <w:bCs/>
                <w:spacing w:val="-1"/>
                <w:sz w:val="22"/>
                <w:szCs w:val="22"/>
              </w:rPr>
            </w:pPr>
            <w:r w:rsidRPr="005248F7">
              <w:rPr>
                <w:b/>
                <w:bCs/>
                <w:spacing w:val="-1"/>
                <w:sz w:val="22"/>
                <w:szCs w:val="22"/>
              </w:rPr>
              <w:t xml:space="preserve">Health Equity Impact Assessments and analysis – </w:t>
            </w:r>
            <w:r w:rsidR="00EF2D20">
              <w:rPr>
                <w:b/>
                <w:bCs/>
                <w:spacing w:val="-1"/>
                <w:sz w:val="22"/>
                <w:szCs w:val="22"/>
              </w:rPr>
              <w:t>Matthias Braubach,</w:t>
            </w:r>
            <w:r w:rsidR="002C2EBA">
              <w:rPr>
                <w:b/>
                <w:bCs/>
                <w:spacing w:val="-1"/>
                <w:sz w:val="22"/>
                <w:szCs w:val="22"/>
              </w:rPr>
              <w:t xml:space="preserve"> Technical Officer,</w:t>
            </w:r>
            <w:r w:rsidR="00EF2D20">
              <w:rPr>
                <w:b/>
                <w:bCs/>
                <w:spacing w:val="-1"/>
                <w:sz w:val="22"/>
                <w:szCs w:val="22"/>
              </w:rPr>
              <w:t xml:space="preserve"> </w:t>
            </w:r>
            <w:r w:rsidRPr="005248F7">
              <w:rPr>
                <w:b/>
                <w:bCs/>
                <w:spacing w:val="-1"/>
                <w:sz w:val="22"/>
                <w:szCs w:val="22"/>
              </w:rPr>
              <w:t>WHO EURO</w:t>
            </w:r>
          </w:p>
          <w:p w14:paraId="5B767DD3" w14:textId="77777777" w:rsidR="00862371" w:rsidRPr="005D6BE3" w:rsidRDefault="00862371" w:rsidP="00862371">
            <w:pPr>
              <w:pStyle w:val="ListParagraph"/>
              <w:numPr>
                <w:ilvl w:val="0"/>
                <w:numId w:val="13"/>
              </w:numPr>
              <w:spacing w:after="240" w:line="250" w:lineRule="auto"/>
              <w:ind w:right="194"/>
              <w:rPr>
                <w:b/>
                <w:bCs/>
                <w:spacing w:val="-1"/>
                <w:sz w:val="22"/>
                <w:szCs w:val="22"/>
              </w:rPr>
            </w:pPr>
            <w:r w:rsidRPr="005248F7">
              <w:rPr>
                <w:b/>
                <w:bCs/>
                <w:spacing w:val="-1"/>
                <w:sz w:val="22"/>
                <w:szCs w:val="22"/>
              </w:rPr>
              <w:t>Building capacity across country offices; roundtable across regions</w:t>
            </w:r>
          </w:p>
          <w:p w14:paraId="3497A2FE" w14:textId="0455A744" w:rsidR="00B347C1" w:rsidRPr="00942DBE" w:rsidRDefault="00862371" w:rsidP="00862371">
            <w:pPr>
              <w:spacing w:after="240" w:line="276" w:lineRule="auto"/>
              <w:rPr>
                <w:sz w:val="22"/>
                <w:szCs w:val="22"/>
              </w:rPr>
            </w:pPr>
            <w:r w:rsidRPr="005248F7">
              <w:rPr>
                <w:sz w:val="22"/>
                <w:szCs w:val="22"/>
                <w:lang w:val="fr-CH"/>
              </w:rPr>
              <w:t xml:space="preserve">Rapporteur: </w:t>
            </w:r>
            <w:r w:rsidRPr="005248F7">
              <w:rPr>
                <w:b/>
                <w:bCs/>
                <w:sz w:val="22"/>
                <w:szCs w:val="22"/>
                <w:lang w:val="fr-CH"/>
              </w:rPr>
              <w:t>HQ/</w:t>
            </w:r>
            <w:r>
              <w:rPr>
                <w:b/>
                <w:bCs/>
                <w:sz w:val="22"/>
                <w:szCs w:val="22"/>
                <w:lang w:val="fr-CH"/>
              </w:rPr>
              <w:t>EQH</w:t>
            </w:r>
          </w:p>
        </w:tc>
        <w:tc>
          <w:tcPr>
            <w:tcW w:w="816" w:type="pct"/>
          </w:tcPr>
          <w:p w14:paraId="3854BC8C" w14:textId="25A2A244" w:rsidR="00B347C1" w:rsidRPr="00D601E3" w:rsidRDefault="00D601E3" w:rsidP="00426F07">
            <w:pPr>
              <w:spacing w:after="240" w:line="276" w:lineRule="auto"/>
              <w:rPr>
                <w:i/>
                <w:iCs/>
                <w:sz w:val="22"/>
                <w:szCs w:val="22"/>
              </w:rPr>
            </w:pPr>
            <w:r>
              <w:rPr>
                <w:b/>
                <w:bCs/>
                <w:sz w:val="22"/>
                <w:szCs w:val="22"/>
              </w:rPr>
              <w:t>O. Hormazabal</w:t>
            </w:r>
          </w:p>
        </w:tc>
      </w:tr>
      <w:tr w:rsidR="00B347C1" w:rsidRPr="0039344A" w14:paraId="42181A6C" w14:textId="77777777" w:rsidTr="003E3B22">
        <w:tc>
          <w:tcPr>
            <w:tcW w:w="721" w:type="pct"/>
            <w:shd w:val="clear" w:color="auto" w:fill="EEECE1" w:themeFill="background2"/>
          </w:tcPr>
          <w:p w14:paraId="661311E2" w14:textId="1DBE6C97" w:rsidR="00B347C1" w:rsidRPr="0039344A" w:rsidRDefault="00B347C1" w:rsidP="00A9698C">
            <w:pPr>
              <w:pStyle w:val="Style11ptLinespacing15lines"/>
            </w:pPr>
            <w:r w:rsidRPr="0039344A">
              <w:t>1</w:t>
            </w:r>
            <w:r w:rsidR="00942DBE">
              <w:t>5</w:t>
            </w:r>
            <w:r w:rsidRPr="0039344A">
              <w:t>.30-1</w:t>
            </w:r>
            <w:r w:rsidR="001D4F00">
              <w:t>5</w:t>
            </w:r>
            <w:r w:rsidRPr="0039344A">
              <w:t>.</w:t>
            </w:r>
            <w:r w:rsidR="001D4F00">
              <w:t>5</w:t>
            </w:r>
            <w:r w:rsidRPr="0039344A">
              <w:t>0</w:t>
            </w:r>
          </w:p>
        </w:tc>
        <w:tc>
          <w:tcPr>
            <w:tcW w:w="3463" w:type="pct"/>
            <w:gridSpan w:val="3"/>
            <w:shd w:val="clear" w:color="auto" w:fill="EEECE1" w:themeFill="background2"/>
          </w:tcPr>
          <w:p w14:paraId="04A200D1" w14:textId="77777777" w:rsidR="00B347C1" w:rsidRPr="0039344A" w:rsidRDefault="00B347C1" w:rsidP="00A51D80">
            <w:pPr>
              <w:spacing w:line="276" w:lineRule="auto"/>
              <w:rPr>
                <w:b/>
                <w:bCs/>
                <w:i/>
                <w:iCs/>
                <w:sz w:val="22"/>
                <w:szCs w:val="22"/>
              </w:rPr>
            </w:pPr>
            <w:r w:rsidRPr="0039344A">
              <w:rPr>
                <w:b/>
                <w:bCs/>
                <w:i/>
                <w:iCs/>
                <w:sz w:val="22"/>
                <w:szCs w:val="22"/>
              </w:rPr>
              <w:t>Coffee</w:t>
            </w:r>
          </w:p>
        </w:tc>
        <w:tc>
          <w:tcPr>
            <w:tcW w:w="816" w:type="pct"/>
            <w:shd w:val="clear" w:color="auto" w:fill="EEECE1" w:themeFill="background2"/>
          </w:tcPr>
          <w:p w14:paraId="5606131D" w14:textId="77777777" w:rsidR="00B347C1" w:rsidRPr="0039344A" w:rsidRDefault="00B347C1" w:rsidP="00A51D80">
            <w:pPr>
              <w:spacing w:line="276" w:lineRule="auto"/>
              <w:rPr>
                <w:b/>
                <w:bCs/>
                <w:i/>
                <w:iCs/>
                <w:sz w:val="22"/>
                <w:szCs w:val="22"/>
              </w:rPr>
            </w:pPr>
          </w:p>
        </w:tc>
      </w:tr>
      <w:tr w:rsidR="00B347C1" w:rsidRPr="0039344A" w14:paraId="7540E927" w14:textId="77777777" w:rsidTr="003E3B22">
        <w:trPr>
          <w:trHeight w:val="80"/>
        </w:trPr>
        <w:tc>
          <w:tcPr>
            <w:tcW w:w="721" w:type="pct"/>
            <w:shd w:val="clear" w:color="auto" w:fill="auto"/>
          </w:tcPr>
          <w:p w14:paraId="5C386A4D" w14:textId="650A99E4" w:rsidR="00B347C1" w:rsidRPr="0039344A" w:rsidRDefault="001D4F00" w:rsidP="00A9698C">
            <w:pPr>
              <w:pStyle w:val="Style11ptLinespacing15lines"/>
            </w:pPr>
            <w:r>
              <w:t>15.50-17.00</w:t>
            </w:r>
          </w:p>
        </w:tc>
        <w:tc>
          <w:tcPr>
            <w:tcW w:w="3463" w:type="pct"/>
            <w:gridSpan w:val="3"/>
            <w:shd w:val="clear" w:color="auto" w:fill="auto"/>
          </w:tcPr>
          <w:p w14:paraId="0A7A77AC" w14:textId="1D4BFA36" w:rsidR="00B347C1" w:rsidRDefault="007840E7" w:rsidP="00B17309">
            <w:pPr>
              <w:spacing w:line="276" w:lineRule="auto"/>
              <w:rPr>
                <w:b/>
                <w:bCs/>
                <w:sz w:val="22"/>
                <w:szCs w:val="22"/>
              </w:rPr>
            </w:pPr>
            <w:r w:rsidRPr="00B17309">
              <w:rPr>
                <w:b/>
                <w:bCs/>
                <w:sz w:val="22"/>
                <w:szCs w:val="22"/>
              </w:rPr>
              <w:t xml:space="preserve">Session 4: </w:t>
            </w:r>
            <w:r w:rsidR="00276043" w:rsidRPr="00B17309">
              <w:rPr>
                <w:b/>
                <w:bCs/>
                <w:sz w:val="22"/>
                <w:szCs w:val="22"/>
              </w:rPr>
              <w:t>Reflections on what works well and lessons learned</w:t>
            </w:r>
          </w:p>
          <w:p w14:paraId="1E9BA223" w14:textId="1F69CECA" w:rsidR="00B17309" w:rsidRDefault="00B17309" w:rsidP="00426F07">
            <w:pPr>
              <w:spacing w:after="240" w:line="276" w:lineRule="auto"/>
              <w:rPr>
                <w:i/>
                <w:iCs/>
                <w:sz w:val="22"/>
                <w:szCs w:val="22"/>
              </w:rPr>
            </w:pPr>
            <w:r w:rsidRPr="00B52190">
              <w:rPr>
                <w:i/>
                <w:iCs/>
                <w:sz w:val="22"/>
                <w:szCs w:val="22"/>
              </w:rPr>
              <w:t xml:space="preserve">This session will reflect on the discussions throughout Day 1, highlight what works well and </w:t>
            </w:r>
            <w:r w:rsidR="00B52190" w:rsidRPr="00B52190">
              <w:rPr>
                <w:i/>
                <w:iCs/>
                <w:sz w:val="22"/>
                <w:szCs w:val="22"/>
              </w:rPr>
              <w:t>how to strengthen collaboration and support where needed</w:t>
            </w:r>
            <w:r w:rsidR="001A78AA">
              <w:rPr>
                <w:i/>
                <w:iCs/>
                <w:sz w:val="22"/>
                <w:szCs w:val="22"/>
              </w:rPr>
              <w:t xml:space="preserve"> for 2024/2025</w:t>
            </w:r>
            <w:r w:rsidR="00B52190" w:rsidRPr="00B52190">
              <w:rPr>
                <w:i/>
                <w:iCs/>
                <w:sz w:val="22"/>
                <w:szCs w:val="22"/>
              </w:rPr>
              <w:t xml:space="preserve">. </w:t>
            </w:r>
          </w:p>
          <w:p w14:paraId="7B52EF79" w14:textId="1C340F28" w:rsidR="00B52190" w:rsidRPr="00B52190" w:rsidRDefault="00B52190" w:rsidP="00426F07">
            <w:pPr>
              <w:spacing w:after="240" w:line="276" w:lineRule="auto"/>
              <w:rPr>
                <w:i/>
                <w:iCs/>
                <w:sz w:val="22"/>
                <w:szCs w:val="22"/>
              </w:rPr>
            </w:pPr>
            <w:r w:rsidRPr="005248F7">
              <w:rPr>
                <w:sz w:val="22"/>
                <w:szCs w:val="22"/>
                <w:lang w:val="fr-CH"/>
              </w:rPr>
              <w:t xml:space="preserve">Rapporteur: </w:t>
            </w:r>
            <w:r w:rsidRPr="005248F7">
              <w:rPr>
                <w:b/>
                <w:bCs/>
                <w:sz w:val="22"/>
                <w:szCs w:val="22"/>
                <w:lang w:val="fr-CH"/>
              </w:rPr>
              <w:t>HQ/</w:t>
            </w:r>
            <w:r w:rsidR="00A9698C">
              <w:rPr>
                <w:b/>
                <w:bCs/>
                <w:sz w:val="22"/>
                <w:szCs w:val="22"/>
                <w:lang w:val="fr-CH"/>
              </w:rPr>
              <w:t>URB</w:t>
            </w:r>
          </w:p>
        </w:tc>
        <w:tc>
          <w:tcPr>
            <w:tcW w:w="816" w:type="pct"/>
          </w:tcPr>
          <w:p w14:paraId="0CBF36B6" w14:textId="77777777" w:rsidR="00B347C1" w:rsidRPr="00B52190" w:rsidRDefault="00276043" w:rsidP="00426F07">
            <w:pPr>
              <w:spacing w:after="240" w:line="276" w:lineRule="auto"/>
              <w:rPr>
                <w:b/>
                <w:bCs/>
                <w:sz w:val="22"/>
                <w:szCs w:val="22"/>
              </w:rPr>
            </w:pPr>
            <w:r w:rsidRPr="005248F7">
              <w:rPr>
                <w:b/>
                <w:bCs/>
                <w:sz w:val="22"/>
                <w:szCs w:val="22"/>
              </w:rPr>
              <w:t xml:space="preserve">E. </w:t>
            </w:r>
            <w:r w:rsidRPr="00B52190">
              <w:rPr>
                <w:b/>
                <w:bCs/>
                <w:sz w:val="22"/>
                <w:szCs w:val="22"/>
              </w:rPr>
              <w:t>Krug</w:t>
            </w:r>
          </w:p>
          <w:p w14:paraId="37B9FD8D" w14:textId="14F9023D" w:rsidR="00B52190" w:rsidRPr="0039344A" w:rsidRDefault="00B52190" w:rsidP="00426F07">
            <w:pPr>
              <w:spacing w:after="240" w:line="276" w:lineRule="auto"/>
              <w:rPr>
                <w:i/>
                <w:iCs/>
                <w:sz w:val="22"/>
                <w:szCs w:val="22"/>
              </w:rPr>
            </w:pPr>
          </w:p>
        </w:tc>
      </w:tr>
      <w:tr w:rsidR="00AD2329" w:rsidRPr="0039344A" w14:paraId="4D2DF7F8" w14:textId="47E26299" w:rsidTr="003E3B22">
        <w:trPr>
          <w:trHeight w:val="80"/>
        </w:trPr>
        <w:tc>
          <w:tcPr>
            <w:tcW w:w="721" w:type="pct"/>
            <w:shd w:val="clear" w:color="auto" w:fill="auto"/>
          </w:tcPr>
          <w:p w14:paraId="2B3B0801" w14:textId="6A4DE328" w:rsidR="00AD2329" w:rsidRPr="0039344A" w:rsidRDefault="00AD2329" w:rsidP="00A9698C">
            <w:pPr>
              <w:pStyle w:val="Style11ptLinespacing15lines"/>
            </w:pPr>
            <w:r w:rsidRPr="0039344A">
              <w:t>19.00</w:t>
            </w:r>
          </w:p>
        </w:tc>
        <w:tc>
          <w:tcPr>
            <w:tcW w:w="3463" w:type="pct"/>
            <w:gridSpan w:val="3"/>
            <w:shd w:val="clear" w:color="auto" w:fill="auto"/>
          </w:tcPr>
          <w:p w14:paraId="12AECBE2" w14:textId="7C97FD3C" w:rsidR="00AD2329" w:rsidRPr="0039344A" w:rsidRDefault="00AD2329" w:rsidP="00426F07">
            <w:pPr>
              <w:spacing w:after="240" w:line="276" w:lineRule="auto"/>
              <w:rPr>
                <w:i/>
                <w:iCs/>
                <w:sz w:val="22"/>
                <w:szCs w:val="22"/>
              </w:rPr>
            </w:pPr>
            <w:r w:rsidRPr="0039344A">
              <w:rPr>
                <w:i/>
                <w:iCs/>
                <w:sz w:val="22"/>
                <w:szCs w:val="22"/>
              </w:rPr>
              <w:t xml:space="preserve">Dinner </w:t>
            </w:r>
          </w:p>
        </w:tc>
        <w:tc>
          <w:tcPr>
            <w:tcW w:w="816" w:type="pct"/>
          </w:tcPr>
          <w:p w14:paraId="52ED5967" w14:textId="77777777" w:rsidR="00AD2329" w:rsidRPr="0039344A" w:rsidRDefault="00AD2329" w:rsidP="00426F07">
            <w:pPr>
              <w:spacing w:after="240" w:line="276" w:lineRule="auto"/>
              <w:rPr>
                <w:i/>
                <w:iCs/>
                <w:sz w:val="22"/>
                <w:szCs w:val="22"/>
              </w:rPr>
            </w:pPr>
          </w:p>
        </w:tc>
      </w:tr>
      <w:tr w:rsidR="00AD2329" w:rsidRPr="0039344A" w14:paraId="21EB3466" w14:textId="640AFD29" w:rsidTr="003E3B22">
        <w:trPr>
          <w:trHeight w:val="80"/>
        </w:trPr>
        <w:tc>
          <w:tcPr>
            <w:tcW w:w="721" w:type="pct"/>
            <w:shd w:val="clear" w:color="auto" w:fill="auto"/>
          </w:tcPr>
          <w:p w14:paraId="424F750C" w14:textId="77777777" w:rsidR="00AD2329" w:rsidRPr="0039344A" w:rsidRDefault="00AD2329" w:rsidP="00A9698C">
            <w:pPr>
              <w:pStyle w:val="Style11ptLinespacing15lines"/>
            </w:pPr>
          </w:p>
        </w:tc>
        <w:tc>
          <w:tcPr>
            <w:tcW w:w="3463" w:type="pct"/>
            <w:gridSpan w:val="3"/>
            <w:shd w:val="clear" w:color="auto" w:fill="auto"/>
          </w:tcPr>
          <w:p w14:paraId="7D4A2E9D" w14:textId="77777777" w:rsidR="00AD2329" w:rsidRPr="0039344A" w:rsidRDefault="00AD2329" w:rsidP="00426F07">
            <w:pPr>
              <w:spacing w:after="240" w:line="276" w:lineRule="auto"/>
              <w:rPr>
                <w:i/>
                <w:iCs/>
                <w:sz w:val="22"/>
                <w:szCs w:val="22"/>
              </w:rPr>
            </w:pPr>
          </w:p>
        </w:tc>
        <w:tc>
          <w:tcPr>
            <w:tcW w:w="816" w:type="pct"/>
          </w:tcPr>
          <w:p w14:paraId="149F0722" w14:textId="77777777" w:rsidR="00AD2329" w:rsidRPr="0039344A" w:rsidRDefault="00AD2329" w:rsidP="00426F07">
            <w:pPr>
              <w:spacing w:after="240" w:line="276" w:lineRule="auto"/>
              <w:rPr>
                <w:i/>
                <w:iCs/>
                <w:sz w:val="22"/>
                <w:szCs w:val="22"/>
              </w:rPr>
            </w:pPr>
          </w:p>
        </w:tc>
      </w:tr>
      <w:tr w:rsidR="00AD2329" w:rsidRPr="0039344A" w14:paraId="4EDF5DB3" w14:textId="182DE73C" w:rsidTr="00685063">
        <w:trPr>
          <w:trHeight w:val="370"/>
        </w:trPr>
        <w:tc>
          <w:tcPr>
            <w:tcW w:w="4028" w:type="pct"/>
            <w:gridSpan w:val="3"/>
            <w:shd w:val="clear" w:color="auto" w:fill="auto"/>
          </w:tcPr>
          <w:p w14:paraId="778ECBAB" w14:textId="713E58C3" w:rsidR="00AD2329" w:rsidRPr="0039344A" w:rsidRDefault="00A51D80" w:rsidP="00426F07">
            <w:pPr>
              <w:shd w:val="clear" w:color="auto" w:fill="EEECE1" w:themeFill="background2"/>
              <w:spacing w:after="240" w:line="276" w:lineRule="auto"/>
              <w:rPr>
                <w:b/>
                <w:bCs/>
                <w:sz w:val="22"/>
                <w:szCs w:val="22"/>
              </w:rPr>
            </w:pPr>
            <w:r>
              <w:br w:type="page"/>
            </w:r>
            <w:r w:rsidR="00AD2329" w:rsidRPr="0039344A">
              <w:br w:type="page"/>
            </w:r>
            <w:r w:rsidR="00AD2329" w:rsidRPr="0039344A">
              <w:rPr>
                <w:b/>
                <w:bCs/>
                <w:sz w:val="22"/>
                <w:szCs w:val="22"/>
                <w:shd w:val="clear" w:color="auto" w:fill="DDD9C3" w:themeFill="background2" w:themeFillShade="E6"/>
              </w:rPr>
              <w:t>DAY 2: Wednesday 26 April 2023</w:t>
            </w:r>
          </w:p>
          <w:p w14:paraId="3C285283" w14:textId="60A9B638" w:rsidR="00762FE2" w:rsidRPr="0039344A" w:rsidRDefault="00AD2329" w:rsidP="00426F07">
            <w:pPr>
              <w:spacing w:after="240" w:line="276" w:lineRule="auto"/>
              <w:rPr>
                <w:b/>
                <w:bCs/>
                <w:sz w:val="22"/>
                <w:szCs w:val="22"/>
              </w:rPr>
            </w:pPr>
            <w:r w:rsidRPr="0039344A">
              <w:rPr>
                <w:b/>
                <w:bCs/>
                <w:sz w:val="22"/>
                <w:szCs w:val="22"/>
              </w:rPr>
              <w:t>Location: M505</w:t>
            </w:r>
          </w:p>
        </w:tc>
        <w:tc>
          <w:tcPr>
            <w:tcW w:w="972" w:type="pct"/>
            <w:gridSpan w:val="2"/>
          </w:tcPr>
          <w:p w14:paraId="340CA2CB" w14:textId="37E510E6" w:rsidR="00AD2329" w:rsidRPr="00A51D80" w:rsidRDefault="00A51D80" w:rsidP="00426F07">
            <w:pPr>
              <w:shd w:val="clear" w:color="auto" w:fill="EEECE1" w:themeFill="background2"/>
              <w:spacing w:after="240" w:line="276" w:lineRule="auto"/>
              <w:rPr>
                <w:b/>
                <w:bCs/>
              </w:rPr>
            </w:pPr>
            <w:r w:rsidRPr="00A51D80">
              <w:rPr>
                <w:b/>
                <w:bCs/>
              </w:rPr>
              <w:t>Lead</w:t>
            </w:r>
          </w:p>
        </w:tc>
      </w:tr>
      <w:tr w:rsidR="006943B9" w:rsidRPr="0039344A" w14:paraId="0B689D4B" w14:textId="77777777" w:rsidTr="003E3B22">
        <w:tc>
          <w:tcPr>
            <w:tcW w:w="770" w:type="pct"/>
            <w:gridSpan w:val="2"/>
            <w:shd w:val="clear" w:color="auto" w:fill="auto"/>
          </w:tcPr>
          <w:p w14:paraId="34F9BA3C" w14:textId="649E6DC5" w:rsidR="00762FE2" w:rsidRPr="0039344A" w:rsidRDefault="00216382" w:rsidP="00A9698C">
            <w:pPr>
              <w:pStyle w:val="Style11ptLinespacing15lines"/>
            </w:pPr>
            <w:r>
              <w:t>09.00-11.00</w:t>
            </w:r>
          </w:p>
        </w:tc>
        <w:tc>
          <w:tcPr>
            <w:tcW w:w="3258" w:type="pct"/>
            <w:shd w:val="clear" w:color="auto" w:fill="auto"/>
          </w:tcPr>
          <w:p w14:paraId="35909C56" w14:textId="29032B54" w:rsidR="005D6BE3" w:rsidRPr="0039344A" w:rsidRDefault="005D6BE3" w:rsidP="005D6BE3">
            <w:pPr>
              <w:spacing w:line="276" w:lineRule="auto"/>
              <w:rPr>
                <w:b/>
                <w:bCs/>
                <w:sz w:val="22"/>
                <w:szCs w:val="22"/>
              </w:rPr>
            </w:pPr>
            <w:r w:rsidRPr="0039344A">
              <w:rPr>
                <w:b/>
                <w:bCs/>
                <w:sz w:val="22"/>
                <w:szCs w:val="22"/>
              </w:rPr>
              <w:t xml:space="preserve">Session </w:t>
            </w:r>
            <w:r w:rsidR="006943B9">
              <w:rPr>
                <w:b/>
                <w:bCs/>
                <w:sz w:val="22"/>
                <w:szCs w:val="22"/>
              </w:rPr>
              <w:t>5</w:t>
            </w:r>
            <w:r w:rsidRPr="0039344A">
              <w:rPr>
                <w:b/>
                <w:bCs/>
                <w:sz w:val="22"/>
                <w:szCs w:val="22"/>
              </w:rPr>
              <w:t xml:space="preserve">: </w:t>
            </w:r>
            <w:r>
              <w:rPr>
                <w:b/>
                <w:bCs/>
                <w:sz w:val="22"/>
                <w:szCs w:val="22"/>
              </w:rPr>
              <w:t>Deep Dive on Urban Health</w:t>
            </w:r>
          </w:p>
          <w:p w14:paraId="07CA5A40" w14:textId="77777777" w:rsidR="005D6BE3" w:rsidRDefault="005D6BE3" w:rsidP="005D6BE3">
            <w:pPr>
              <w:tabs>
                <w:tab w:val="left" w:pos="426"/>
              </w:tabs>
              <w:ind w:right="-20"/>
              <w:rPr>
                <w:bCs/>
                <w:i/>
                <w:iCs/>
                <w:sz w:val="22"/>
                <w:szCs w:val="22"/>
              </w:rPr>
            </w:pPr>
            <w:r w:rsidRPr="0039344A">
              <w:rPr>
                <w:bCs/>
                <w:i/>
                <w:iCs/>
                <w:sz w:val="22"/>
                <w:szCs w:val="22"/>
              </w:rPr>
              <w:t>This session will discuss and review the scope of activities, priority outputs and key products of the URB workstream for 2023 and forthcoming 2024/25 biennium, including joint activities with other relevant units in 2024-25 workplans.</w:t>
            </w:r>
          </w:p>
          <w:p w14:paraId="668397C1" w14:textId="6D02A7F9" w:rsidR="003954E6" w:rsidRPr="003954E6" w:rsidRDefault="003B6A44" w:rsidP="003954E6">
            <w:pPr>
              <w:pStyle w:val="ListParagraph"/>
              <w:numPr>
                <w:ilvl w:val="0"/>
                <w:numId w:val="24"/>
              </w:numPr>
              <w:tabs>
                <w:tab w:val="left" w:pos="426"/>
              </w:tabs>
              <w:ind w:right="-20"/>
              <w:rPr>
                <w:b/>
                <w:sz w:val="22"/>
                <w:szCs w:val="22"/>
              </w:rPr>
            </w:pPr>
            <w:r>
              <w:rPr>
                <w:b/>
                <w:sz w:val="22"/>
                <w:szCs w:val="22"/>
              </w:rPr>
              <w:t>How can we strengthen a</w:t>
            </w:r>
            <w:r w:rsidR="003954E6" w:rsidRPr="003954E6">
              <w:rPr>
                <w:b/>
                <w:sz w:val="22"/>
                <w:szCs w:val="22"/>
              </w:rPr>
              <w:t>lignment of urban health agenda across the organization</w:t>
            </w:r>
            <w:r>
              <w:rPr>
                <w:b/>
                <w:sz w:val="22"/>
                <w:szCs w:val="22"/>
              </w:rPr>
              <w:t>?</w:t>
            </w:r>
          </w:p>
          <w:p w14:paraId="6161BEEC" w14:textId="657522B9" w:rsidR="003954E6" w:rsidRPr="003954E6" w:rsidRDefault="003B6A44" w:rsidP="003954E6">
            <w:pPr>
              <w:pStyle w:val="ListParagraph"/>
              <w:numPr>
                <w:ilvl w:val="0"/>
                <w:numId w:val="24"/>
              </w:numPr>
              <w:tabs>
                <w:tab w:val="left" w:pos="426"/>
              </w:tabs>
              <w:ind w:right="-20"/>
              <w:rPr>
                <w:b/>
                <w:sz w:val="22"/>
                <w:szCs w:val="22"/>
              </w:rPr>
            </w:pPr>
            <w:r>
              <w:rPr>
                <w:b/>
                <w:sz w:val="22"/>
                <w:szCs w:val="22"/>
              </w:rPr>
              <w:t>How can we strengthen the p</w:t>
            </w:r>
            <w:r w:rsidR="003954E6" w:rsidRPr="003954E6">
              <w:rPr>
                <w:b/>
                <w:sz w:val="22"/>
                <w:szCs w:val="22"/>
              </w:rPr>
              <w:t>ositioning of urban health at high level</w:t>
            </w:r>
            <w:r w:rsidR="00A23557">
              <w:rPr>
                <w:b/>
                <w:sz w:val="22"/>
                <w:szCs w:val="22"/>
              </w:rPr>
              <w:t xml:space="preserve">: </w:t>
            </w:r>
            <w:r w:rsidR="003954E6" w:rsidRPr="003954E6">
              <w:rPr>
                <w:b/>
                <w:sz w:val="22"/>
                <w:szCs w:val="22"/>
              </w:rPr>
              <w:t>opportunities for alignment</w:t>
            </w:r>
            <w:r>
              <w:rPr>
                <w:b/>
                <w:sz w:val="22"/>
                <w:szCs w:val="22"/>
              </w:rPr>
              <w:t>?</w:t>
            </w:r>
          </w:p>
          <w:p w14:paraId="7DE64E94" w14:textId="1F62D108" w:rsidR="003954E6" w:rsidRPr="003954E6" w:rsidRDefault="003954E6" w:rsidP="003954E6">
            <w:pPr>
              <w:pStyle w:val="ListParagraph"/>
              <w:numPr>
                <w:ilvl w:val="0"/>
                <w:numId w:val="24"/>
              </w:numPr>
              <w:tabs>
                <w:tab w:val="left" w:pos="426"/>
              </w:tabs>
              <w:ind w:right="-20"/>
              <w:rPr>
                <w:b/>
                <w:sz w:val="22"/>
                <w:szCs w:val="22"/>
              </w:rPr>
            </w:pPr>
            <w:r w:rsidRPr="003954E6">
              <w:rPr>
                <w:b/>
                <w:sz w:val="22"/>
                <w:szCs w:val="22"/>
              </w:rPr>
              <w:t>Strengthening capacity building for urban health</w:t>
            </w:r>
            <w:r w:rsidR="00A23557">
              <w:rPr>
                <w:b/>
                <w:sz w:val="22"/>
                <w:szCs w:val="22"/>
              </w:rPr>
              <w:t xml:space="preserve">: </w:t>
            </w:r>
            <w:r w:rsidRPr="003954E6">
              <w:rPr>
                <w:b/>
                <w:sz w:val="22"/>
                <w:szCs w:val="22"/>
              </w:rPr>
              <w:t xml:space="preserve">alignment and identification of joint country work </w:t>
            </w:r>
          </w:p>
          <w:p w14:paraId="076184B9" w14:textId="118CD7D8" w:rsidR="003954E6" w:rsidRPr="003954E6" w:rsidRDefault="003954E6" w:rsidP="003954E6">
            <w:pPr>
              <w:pStyle w:val="ListParagraph"/>
              <w:numPr>
                <w:ilvl w:val="0"/>
                <w:numId w:val="24"/>
              </w:numPr>
              <w:tabs>
                <w:tab w:val="left" w:pos="426"/>
              </w:tabs>
              <w:ind w:right="-20"/>
              <w:rPr>
                <w:b/>
                <w:sz w:val="22"/>
                <w:szCs w:val="22"/>
              </w:rPr>
            </w:pPr>
            <w:r w:rsidRPr="003954E6">
              <w:rPr>
                <w:b/>
                <w:sz w:val="22"/>
                <w:szCs w:val="22"/>
              </w:rPr>
              <w:t>Upcoming events (global and regional): identification of upcoming opportunities for joint WHOs presence and launches of products</w:t>
            </w:r>
          </w:p>
          <w:p w14:paraId="2A82A8F0" w14:textId="16D386F8" w:rsidR="005D6BE3" w:rsidRPr="00A23557" w:rsidRDefault="003954E6" w:rsidP="003954E6">
            <w:pPr>
              <w:numPr>
                <w:ilvl w:val="0"/>
                <w:numId w:val="24"/>
              </w:numPr>
              <w:tabs>
                <w:tab w:val="left" w:pos="426"/>
              </w:tabs>
              <w:ind w:right="-20"/>
              <w:rPr>
                <w:bCs/>
                <w:i/>
                <w:iCs/>
                <w:sz w:val="22"/>
                <w:szCs w:val="22"/>
              </w:rPr>
            </w:pPr>
            <w:r w:rsidRPr="003954E6">
              <w:rPr>
                <w:b/>
                <w:sz w:val="22"/>
                <w:szCs w:val="22"/>
              </w:rPr>
              <w:t>AOB</w:t>
            </w:r>
          </w:p>
          <w:p w14:paraId="22DF5211" w14:textId="77777777" w:rsidR="00A23557" w:rsidRPr="0039344A" w:rsidRDefault="00A23557" w:rsidP="00A23557">
            <w:pPr>
              <w:tabs>
                <w:tab w:val="left" w:pos="426"/>
              </w:tabs>
              <w:ind w:right="-20"/>
              <w:rPr>
                <w:bCs/>
                <w:i/>
                <w:iCs/>
                <w:sz w:val="22"/>
                <w:szCs w:val="22"/>
              </w:rPr>
            </w:pPr>
          </w:p>
          <w:p w14:paraId="7F44C8A7" w14:textId="424E1DD1" w:rsidR="00762FE2" w:rsidRPr="005D6BE3" w:rsidRDefault="005D6BE3" w:rsidP="00A51D80">
            <w:pPr>
              <w:spacing w:line="276" w:lineRule="auto"/>
              <w:rPr>
                <w:b/>
                <w:bCs/>
                <w:sz w:val="22"/>
                <w:szCs w:val="22"/>
                <w:lang w:val="fr-CH"/>
              </w:rPr>
            </w:pPr>
            <w:r w:rsidRPr="0039344A">
              <w:rPr>
                <w:sz w:val="22"/>
                <w:szCs w:val="22"/>
                <w:lang w:val="fr-CH"/>
              </w:rPr>
              <w:t xml:space="preserve">Rapporteur: </w:t>
            </w:r>
            <w:r w:rsidR="009A58EA">
              <w:rPr>
                <w:b/>
                <w:bCs/>
                <w:sz w:val="22"/>
                <w:szCs w:val="22"/>
                <w:lang w:val="fr-CH"/>
              </w:rPr>
              <w:t>WPRO</w:t>
            </w:r>
          </w:p>
        </w:tc>
        <w:tc>
          <w:tcPr>
            <w:tcW w:w="972" w:type="pct"/>
            <w:gridSpan w:val="2"/>
            <w:shd w:val="clear" w:color="auto" w:fill="auto"/>
          </w:tcPr>
          <w:p w14:paraId="0CD2BB50" w14:textId="3899CE98" w:rsidR="00762FE2" w:rsidRPr="0039344A" w:rsidRDefault="004416A3" w:rsidP="00080937">
            <w:pPr>
              <w:tabs>
                <w:tab w:val="left" w:pos="426"/>
              </w:tabs>
              <w:ind w:right="-20"/>
              <w:rPr>
                <w:b/>
                <w:bCs/>
                <w:sz w:val="22"/>
                <w:szCs w:val="22"/>
              </w:rPr>
            </w:pPr>
            <w:r>
              <w:rPr>
                <w:b/>
                <w:bCs/>
                <w:sz w:val="22"/>
                <w:szCs w:val="22"/>
              </w:rPr>
              <w:t>M. Braubach</w:t>
            </w:r>
          </w:p>
        </w:tc>
      </w:tr>
      <w:tr w:rsidR="00A51D80" w:rsidRPr="0039344A" w14:paraId="1C3B01E5" w14:textId="77777777" w:rsidTr="003E3B22">
        <w:trPr>
          <w:trHeight w:val="173"/>
        </w:trPr>
        <w:tc>
          <w:tcPr>
            <w:tcW w:w="770" w:type="pct"/>
            <w:gridSpan w:val="2"/>
            <w:shd w:val="clear" w:color="auto" w:fill="EEECE1" w:themeFill="background2"/>
          </w:tcPr>
          <w:p w14:paraId="52D82353" w14:textId="60B2CAC0" w:rsidR="00762FE2" w:rsidRPr="0039344A" w:rsidRDefault="00216382" w:rsidP="00A9698C">
            <w:pPr>
              <w:pStyle w:val="Style11ptLinespacing15lines"/>
            </w:pPr>
            <w:r>
              <w:t>11.00-11.30</w:t>
            </w:r>
          </w:p>
        </w:tc>
        <w:tc>
          <w:tcPr>
            <w:tcW w:w="3258" w:type="pct"/>
            <w:shd w:val="clear" w:color="auto" w:fill="EEECE1" w:themeFill="background2"/>
          </w:tcPr>
          <w:p w14:paraId="48CFF90C" w14:textId="77777777" w:rsidR="00762FE2" w:rsidRPr="0039344A" w:rsidRDefault="00762FE2" w:rsidP="00A51D80">
            <w:pPr>
              <w:spacing w:line="276" w:lineRule="auto"/>
              <w:rPr>
                <w:i/>
                <w:iCs/>
                <w:sz w:val="22"/>
                <w:szCs w:val="22"/>
              </w:rPr>
            </w:pPr>
            <w:r w:rsidRPr="0039344A">
              <w:rPr>
                <w:i/>
                <w:iCs/>
                <w:sz w:val="22"/>
                <w:szCs w:val="22"/>
              </w:rPr>
              <w:t>Break</w:t>
            </w:r>
          </w:p>
        </w:tc>
        <w:tc>
          <w:tcPr>
            <w:tcW w:w="972" w:type="pct"/>
            <w:gridSpan w:val="2"/>
            <w:shd w:val="clear" w:color="auto" w:fill="EEECE1" w:themeFill="background2"/>
          </w:tcPr>
          <w:p w14:paraId="6D922FA7" w14:textId="77777777" w:rsidR="00762FE2" w:rsidRPr="0039344A" w:rsidRDefault="00762FE2" w:rsidP="00A51D80">
            <w:pPr>
              <w:spacing w:line="276" w:lineRule="auto"/>
              <w:rPr>
                <w:i/>
                <w:iCs/>
                <w:sz w:val="22"/>
                <w:szCs w:val="22"/>
              </w:rPr>
            </w:pPr>
          </w:p>
        </w:tc>
      </w:tr>
      <w:tr w:rsidR="006943B9" w:rsidRPr="0039344A" w14:paraId="6B4314A2" w14:textId="77777777" w:rsidTr="003E3B22">
        <w:trPr>
          <w:trHeight w:val="127"/>
        </w:trPr>
        <w:tc>
          <w:tcPr>
            <w:tcW w:w="770" w:type="pct"/>
            <w:gridSpan w:val="2"/>
            <w:shd w:val="clear" w:color="auto" w:fill="auto"/>
          </w:tcPr>
          <w:p w14:paraId="1EB66C0D" w14:textId="6CA9E742" w:rsidR="00216382" w:rsidRPr="0039344A" w:rsidRDefault="00F64D5B" w:rsidP="00A9698C">
            <w:pPr>
              <w:pStyle w:val="Style11ptLinespacing15lines"/>
            </w:pPr>
            <w:r>
              <w:t>11.30</w:t>
            </w:r>
            <w:r w:rsidR="00216382" w:rsidRPr="0039344A">
              <w:t>-1</w:t>
            </w:r>
            <w:r>
              <w:t>2</w:t>
            </w:r>
            <w:r w:rsidR="00216382" w:rsidRPr="0039344A">
              <w:t>:30</w:t>
            </w:r>
          </w:p>
        </w:tc>
        <w:tc>
          <w:tcPr>
            <w:tcW w:w="3258" w:type="pct"/>
            <w:shd w:val="clear" w:color="auto" w:fill="auto"/>
          </w:tcPr>
          <w:p w14:paraId="575BFBF9" w14:textId="1A6EE803" w:rsidR="00216382" w:rsidRPr="0039344A" w:rsidRDefault="00216382" w:rsidP="00080937">
            <w:pPr>
              <w:spacing w:line="276" w:lineRule="auto"/>
              <w:rPr>
                <w:b/>
                <w:bCs/>
                <w:sz w:val="22"/>
                <w:szCs w:val="22"/>
              </w:rPr>
            </w:pPr>
            <w:r w:rsidRPr="0039344A">
              <w:rPr>
                <w:b/>
                <w:bCs/>
                <w:sz w:val="22"/>
                <w:szCs w:val="22"/>
              </w:rPr>
              <w:t xml:space="preserve">Session </w:t>
            </w:r>
            <w:r w:rsidR="00F64D5B">
              <w:rPr>
                <w:b/>
                <w:bCs/>
                <w:sz w:val="22"/>
                <w:szCs w:val="22"/>
              </w:rPr>
              <w:t>6a</w:t>
            </w:r>
            <w:r w:rsidRPr="0039344A">
              <w:rPr>
                <w:b/>
                <w:bCs/>
                <w:sz w:val="22"/>
                <w:szCs w:val="22"/>
              </w:rPr>
              <w:t xml:space="preserve">: </w:t>
            </w:r>
            <w:r w:rsidR="00F64D5B">
              <w:rPr>
                <w:b/>
                <w:bCs/>
                <w:sz w:val="22"/>
                <w:szCs w:val="22"/>
              </w:rPr>
              <w:t xml:space="preserve">Deep Dive on </w:t>
            </w:r>
            <w:r w:rsidR="006E563B">
              <w:rPr>
                <w:b/>
                <w:bCs/>
                <w:sz w:val="22"/>
                <w:szCs w:val="22"/>
              </w:rPr>
              <w:t>Equity and Health</w:t>
            </w:r>
          </w:p>
          <w:p w14:paraId="7EDE63B5" w14:textId="6B9CADFB" w:rsidR="00216382" w:rsidRDefault="00216382" w:rsidP="00080937">
            <w:pPr>
              <w:spacing w:line="276" w:lineRule="auto"/>
              <w:rPr>
                <w:bCs/>
                <w:i/>
                <w:iCs/>
                <w:sz w:val="22"/>
                <w:szCs w:val="22"/>
                <w:lang w:val="it-IT"/>
              </w:rPr>
            </w:pPr>
            <w:r w:rsidRPr="0039344A">
              <w:rPr>
                <w:bCs/>
                <w:i/>
                <w:iCs/>
                <w:sz w:val="22"/>
                <w:szCs w:val="22"/>
                <w:lang w:val="it-IT"/>
              </w:rPr>
              <w:t xml:space="preserve">This session will discuss and review the scope of activities, priority outputs and key products of the </w:t>
            </w:r>
            <w:r w:rsidR="006E563B">
              <w:rPr>
                <w:bCs/>
                <w:i/>
                <w:iCs/>
                <w:sz w:val="22"/>
                <w:szCs w:val="22"/>
                <w:lang w:val="it-IT"/>
              </w:rPr>
              <w:t>EGH</w:t>
            </w:r>
            <w:r w:rsidRPr="0039344A">
              <w:rPr>
                <w:bCs/>
                <w:i/>
                <w:iCs/>
                <w:sz w:val="22"/>
                <w:szCs w:val="22"/>
                <w:lang w:val="it-IT"/>
              </w:rPr>
              <w:t xml:space="preserve"> workstream for 2023 and forthcoming 2024/25 biennium.</w:t>
            </w:r>
          </w:p>
          <w:p w14:paraId="123E5B3F" w14:textId="243F0186" w:rsidR="006E563B" w:rsidRPr="006E563B" w:rsidRDefault="006E563B" w:rsidP="006E563B">
            <w:pPr>
              <w:pStyle w:val="ListParagraph"/>
              <w:numPr>
                <w:ilvl w:val="0"/>
                <w:numId w:val="24"/>
              </w:numPr>
              <w:tabs>
                <w:tab w:val="left" w:pos="426"/>
              </w:tabs>
              <w:ind w:right="-20"/>
              <w:rPr>
                <w:b/>
                <w:sz w:val="22"/>
                <w:szCs w:val="22"/>
              </w:rPr>
            </w:pPr>
            <w:r w:rsidRPr="006E563B">
              <w:rPr>
                <w:b/>
                <w:sz w:val="22"/>
                <w:szCs w:val="22"/>
              </w:rPr>
              <w:t xml:space="preserve">How can we plan to launch and disseminate the World Report on Social Determinants of Health Equity later this year to best support action in regions and countries?  </w:t>
            </w:r>
          </w:p>
          <w:p w14:paraId="4741FAEB" w14:textId="1D654EF2" w:rsidR="006E563B" w:rsidRPr="006E563B" w:rsidRDefault="006E563B" w:rsidP="006E563B">
            <w:pPr>
              <w:pStyle w:val="ListParagraph"/>
              <w:numPr>
                <w:ilvl w:val="0"/>
                <w:numId w:val="24"/>
              </w:numPr>
              <w:tabs>
                <w:tab w:val="left" w:pos="426"/>
              </w:tabs>
              <w:ind w:right="-20"/>
              <w:rPr>
                <w:b/>
                <w:sz w:val="22"/>
                <w:szCs w:val="22"/>
              </w:rPr>
            </w:pPr>
            <w:r w:rsidRPr="006E563B">
              <w:rPr>
                <w:b/>
                <w:sz w:val="22"/>
                <w:szCs w:val="22"/>
              </w:rPr>
              <w:t>What are strategies that we can use together to support the testing and implementation of the operational framework in countries, especially those with limited resources and capacity?</w:t>
            </w:r>
          </w:p>
          <w:p w14:paraId="34A4184E" w14:textId="77777777" w:rsidR="00216382" w:rsidRPr="0039344A" w:rsidRDefault="00216382" w:rsidP="00080937">
            <w:pPr>
              <w:spacing w:line="276" w:lineRule="auto"/>
              <w:rPr>
                <w:sz w:val="22"/>
                <w:szCs w:val="22"/>
                <w:lang w:val="it-IT"/>
              </w:rPr>
            </w:pPr>
          </w:p>
          <w:p w14:paraId="7A5EC623" w14:textId="58FF2CD5" w:rsidR="00216382" w:rsidRPr="0039344A" w:rsidRDefault="00216382" w:rsidP="00A51D80">
            <w:pPr>
              <w:spacing w:line="276" w:lineRule="auto"/>
              <w:rPr>
                <w:b/>
                <w:bCs/>
                <w:sz w:val="22"/>
                <w:szCs w:val="22"/>
                <w:lang w:val="it-IT"/>
              </w:rPr>
            </w:pPr>
            <w:r w:rsidRPr="0039344A">
              <w:rPr>
                <w:sz w:val="22"/>
                <w:szCs w:val="22"/>
                <w:lang w:val="it-IT"/>
              </w:rPr>
              <w:t xml:space="preserve">Rapporteur: </w:t>
            </w:r>
            <w:r w:rsidR="00017267">
              <w:rPr>
                <w:b/>
                <w:bCs/>
                <w:sz w:val="22"/>
                <w:szCs w:val="22"/>
                <w:lang w:val="it-IT"/>
              </w:rPr>
              <w:t>AFRO</w:t>
            </w:r>
          </w:p>
        </w:tc>
        <w:tc>
          <w:tcPr>
            <w:tcW w:w="972" w:type="pct"/>
            <w:gridSpan w:val="2"/>
            <w:shd w:val="clear" w:color="auto" w:fill="auto"/>
          </w:tcPr>
          <w:p w14:paraId="20E423EE" w14:textId="3BEF753D" w:rsidR="00216382" w:rsidRPr="0039344A" w:rsidRDefault="008B50A6" w:rsidP="00080937">
            <w:pPr>
              <w:spacing w:line="276" w:lineRule="auto"/>
              <w:rPr>
                <w:b/>
                <w:bCs/>
                <w:sz w:val="22"/>
                <w:szCs w:val="22"/>
              </w:rPr>
            </w:pPr>
            <w:r>
              <w:rPr>
                <w:b/>
                <w:bCs/>
                <w:sz w:val="22"/>
                <w:szCs w:val="22"/>
              </w:rPr>
              <w:t>E. Krug</w:t>
            </w:r>
          </w:p>
        </w:tc>
      </w:tr>
      <w:tr w:rsidR="00F64D5B" w:rsidRPr="0039344A" w14:paraId="75C931C8" w14:textId="77777777" w:rsidTr="003E3B22">
        <w:tc>
          <w:tcPr>
            <w:tcW w:w="770" w:type="pct"/>
            <w:gridSpan w:val="2"/>
            <w:shd w:val="clear" w:color="auto" w:fill="EEECE1" w:themeFill="background2"/>
          </w:tcPr>
          <w:p w14:paraId="4E57DC91" w14:textId="77777777" w:rsidR="00F64D5B" w:rsidRPr="0039344A" w:rsidRDefault="00F64D5B" w:rsidP="00A9698C">
            <w:pPr>
              <w:pStyle w:val="Style11ptLinespacing15lines"/>
            </w:pPr>
            <w:r w:rsidRPr="0039344A">
              <w:t>12.30-13.30</w:t>
            </w:r>
          </w:p>
        </w:tc>
        <w:tc>
          <w:tcPr>
            <w:tcW w:w="3258" w:type="pct"/>
            <w:shd w:val="clear" w:color="auto" w:fill="EEECE1" w:themeFill="background2"/>
          </w:tcPr>
          <w:p w14:paraId="1BB58BFB" w14:textId="77777777" w:rsidR="00F64D5B" w:rsidRPr="0039344A" w:rsidRDefault="00F64D5B" w:rsidP="00A51D80">
            <w:pPr>
              <w:spacing w:line="276" w:lineRule="auto"/>
              <w:rPr>
                <w:i/>
                <w:iCs/>
                <w:sz w:val="22"/>
                <w:szCs w:val="22"/>
              </w:rPr>
            </w:pPr>
            <w:r w:rsidRPr="0039344A">
              <w:rPr>
                <w:i/>
                <w:iCs/>
                <w:sz w:val="22"/>
                <w:szCs w:val="22"/>
              </w:rPr>
              <w:t>Lunch</w:t>
            </w:r>
          </w:p>
        </w:tc>
        <w:tc>
          <w:tcPr>
            <w:tcW w:w="972" w:type="pct"/>
            <w:gridSpan w:val="2"/>
            <w:shd w:val="clear" w:color="auto" w:fill="EEECE1" w:themeFill="background2"/>
          </w:tcPr>
          <w:p w14:paraId="1EC7E5D7" w14:textId="77777777" w:rsidR="00F64D5B" w:rsidRPr="0039344A" w:rsidRDefault="00F64D5B" w:rsidP="00A51D80">
            <w:pPr>
              <w:spacing w:line="276" w:lineRule="auto"/>
              <w:rPr>
                <w:i/>
                <w:iCs/>
                <w:sz w:val="22"/>
                <w:szCs w:val="22"/>
              </w:rPr>
            </w:pPr>
          </w:p>
        </w:tc>
      </w:tr>
      <w:tr w:rsidR="006943B9" w:rsidRPr="0039344A" w14:paraId="2054A421" w14:textId="77777777" w:rsidTr="003E3B22">
        <w:tc>
          <w:tcPr>
            <w:tcW w:w="770" w:type="pct"/>
            <w:gridSpan w:val="2"/>
            <w:shd w:val="clear" w:color="auto" w:fill="auto"/>
          </w:tcPr>
          <w:p w14:paraId="7DF62BF8" w14:textId="4BCA17A4" w:rsidR="00216382" w:rsidRPr="0039344A" w:rsidRDefault="00216382" w:rsidP="00A9698C">
            <w:pPr>
              <w:pStyle w:val="Style11ptLinespacing15lines"/>
            </w:pPr>
            <w:r w:rsidRPr="0039344A">
              <w:t>1</w:t>
            </w:r>
            <w:r w:rsidR="00AC205C">
              <w:t>3</w:t>
            </w:r>
            <w:r w:rsidRPr="0039344A">
              <w:t>:</w:t>
            </w:r>
            <w:r w:rsidR="00AC205C">
              <w:t>3</w:t>
            </w:r>
            <w:r w:rsidRPr="0039344A">
              <w:t>0-1</w:t>
            </w:r>
            <w:r w:rsidR="00AC205C">
              <w:t>4</w:t>
            </w:r>
            <w:r w:rsidRPr="0039344A">
              <w:t>.30</w:t>
            </w:r>
          </w:p>
        </w:tc>
        <w:tc>
          <w:tcPr>
            <w:tcW w:w="3258" w:type="pct"/>
            <w:shd w:val="clear" w:color="auto" w:fill="auto"/>
          </w:tcPr>
          <w:p w14:paraId="2ED980F1" w14:textId="675CD5DD" w:rsidR="008B50A6" w:rsidRPr="0039344A" w:rsidRDefault="008B50A6" w:rsidP="008B50A6">
            <w:pPr>
              <w:spacing w:line="276" w:lineRule="auto"/>
              <w:rPr>
                <w:b/>
                <w:bCs/>
                <w:sz w:val="22"/>
                <w:szCs w:val="22"/>
              </w:rPr>
            </w:pPr>
            <w:r w:rsidRPr="0039344A">
              <w:rPr>
                <w:b/>
                <w:bCs/>
                <w:sz w:val="22"/>
                <w:szCs w:val="22"/>
              </w:rPr>
              <w:t xml:space="preserve">Session </w:t>
            </w:r>
            <w:r>
              <w:rPr>
                <w:b/>
                <w:bCs/>
                <w:sz w:val="22"/>
                <w:szCs w:val="22"/>
              </w:rPr>
              <w:t>6b</w:t>
            </w:r>
            <w:r w:rsidRPr="0039344A">
              <w:rPr>
                <w:b/>
                <w:bCs/>
                <w:sz w:val="22"/>
                <w:szCs w:val="22"/>
              </w:rPr>
              <w:t xml:space="preserve">: </w:t>
            </w:r>
            <w:r>
              <w:rPr>
                <w:b/>
                <w:bCs/>
                <w:sz w:val="22"/>
                <w:szCs w:val="22"/>
              </w:rPr>
              <w:t>Deep Dive on Equity and Health</w:t>
            </w:r>
          </w:p>
          <w:p w14:paraId="69345DC3" w14:textId="77777777" w:rsidR="008B50A6" w:rsidRDefault="008B50A6" w:rsidP="008B50A6">
            <w:pPr>
              <w:spacing w:line="276" w:lineRule="auto"/>
              <w:rPr>
                <w:bCs/>
                <w:i/>
                <w:iCs/>
                <w:sz w:val="22"/>
                <w:szCs w:val="22"/>
                <w:lang w:val="it-IT"/>
              </w:rPr>
            </w:pPr>
            <w:r w:rsidRPr="0039344A">
              <w:rPr>
                <w:bCs/>
                <w:i/>
                <w:iCs/>
                <w:sz w:val="22"/>
                <w:szCs w:val="22"/>
                <w:lang w:val="it-IT"/>
              </w:rPr>
              <w:t xml:space="preserve">This session will discuss and review the scope of activities, priority outputs and key products of the </w:t>
            </w:r>
            <w:r>
              <w:rPr>
                <w:bCs/>
                <w:i/>
                <w:iCs/>
                <w:sz w:val="22"/>
                <w:szCs w:val="22"/>
                <w:lang w:val="it-IT"/>
              </w:rPr>
              <w:t>EGH</w:t>
            </w:r>
            <w:r w:rsidRPr="0039344A">
              <w:rPr>
                <w:bCs/>
                <w:i/>
                <w:iCs/>
                <w:sz w:val="22"/>
                <w:szCs w:val="22"/>
                <w:lang w:val="it-IT"/>
              </w:rPr>
              <w:t xml:space="preserve"> workstream for 2023 and forthcoming 2024/25 biennium.</w:t>
            </w:r>
          </w:p>
          <w:p w14:paraId="46B70B36" w14:textId="75A5CC6A" w:rsidR="00107C3D" w:rsidRPr="00107C3D" w:rsidRDefault="00107C3D" w:rsidP="00107C3D">
            <w:pPr>
              <w:pStyle w:val="ListParagraph"/>
              <w:numPr>
                <w:ilvl w:val="0"/>
                <w:numId w:val="24"/>
              </w:numPr>
              <w:tabs>
                <w:tab w:val="left" w:pos="426"/>
              </w:tabs>
              <w:ind w:right="-20"/>
              <w:rPr>
                <w:b/>
                <w:sz w:val="22"/>
                <w:szCs w:val="22"/>
              </w:rPr>
            </w:pPr>
            <w:r w:rsidRPr="00107C3D">
              <w:rPr>
                <w:b/>
                <w:sz w:val="22"/>
                <w:szCs w:val="22"/>
              </w:rPr>
              <w:t>What is our vision for how WHO works at the three levels to support country action on the social determinants of health equity? What kind of ways of working can help us scale up the sharing of country experiences of action?</w:t>
            </w:r>
          </w:p>
          <w:p w14:paraId="473DD4E1" w14:textId="42F132B5" w:rsidR="00107C3D" w:rsidRDefault="00107C3D" w:rsidP="00107C3D">
            <w:pPr>
              <w:pStyle w:val="ListParagraph"/>
              <w:numPr>
                <w:ilvl w:val="0"/>
                <w:numId w:val="24"/>
              </w:numPr>
              <w:tabs>
                <w:tab w:val="left" w:pos="426"/>
              </w:tabs>
              <w:ind w:right="-20"/>
              <w:rPr>
                <w:b/>
                <w:sz w:val="22"/>
                <w:szCs w:val="22"/>
              </w:rPr>
            </w:pPr>
            <w:r w:rsidRPr="00107C3D">
              <w:rPr>
                <w:b/>
                <w:sz w:val="22"/>
                <w:szCs w:val="22"/>
              </w:rPr>
              <w:t>Are there joint technical products that can help accelerate this, such as a global tool to facilitate implementation, building on the World Report and EMRO tool?</w:t>
            </w:r>
          </w:p>
          <w:p w14:paraId="4E170802" w14:textId="77777777" w:rsidR="009A58EA" w:rsidRDefault="009A58EA" w:rsidP="009A58EA">
            <w:pPr>
              <w:tabs>
                <w:tab w:val="left" w:pos="426"/>
              </w:tabs>
              <w:ind w:right="-20"/>
              <w:rPr>
                <w:b/>
                <w:sz w:val="22"/>
                <w:szCs w:val="22"/>
              </w:rPr>
            </w:pPr>
          </w:p>
          <w:p w14:paraId="119F520B" w14:textId="47FB18F1" w:rsidR="009A58EA" w:rsidRPr="009A58EA" w:rsidRDefault="009A58EA" w:rsidP="009A58EA">
            <w:pPr>
              <w:tabs>
                <w:tab w:val="left" w:pos="426"/>
              </w:tabs>
              <w:ind w:right="-20"/>
              <w:rPr>
                <w:bCs/>
                <w:sz w:val="22"/>
                <w:szCs w:val="22"/>
              </w:rPr>
            </w:pPr>
            <w:r w:rsidRPr="009A58EA">
              <w:rPr>
                <w:bCs/>
                <w:sz w:val="22"/>
                <w:szCs w:val="22"/>
              </w:rPr>
              <w:t xml:space="preserve">Rapporteur: </w:t>
            </w:r>
            <w:r w:rsidRPr="009A58EA">
              <w:rPr>
                <w:b/>
                <w:sz w:val="22"/>
                <w:szCs w:val="22"/>
              </w:rPr>
              <w:t>AMRO/PAHO</w:t>
            </w:r>
          </w:p>
          <w:p w14:paraId="1DBF690D" w14:textId="6B21D4E3" w:rsidR="00216382" w:rsidRPr="0039344A" w:rsidRDefault="00216382" w:rsidP="00A51D80">
            <w:pPr>
              <w:spacing w:line="276" w:lineRule="auto"/>
              <w:rPr>
                <w:b/>
                <w:bCs/>
                <w:sz w:val="22"/>
                <w:szCs w:val="22"/>
              </w:rPr>
            </w:pPr>
          </w:p>
        </w:tc>
        <w:tc>
          <w:tcPr>
            <w:tcW w:w="972" w:type="pct"/>
            <w:gridSpan w:val="2"/>
            <w:shd w:val="clear" w:color="auto" w:fill="auto"/>
          </w:tcPr>
          <w:p w14:paraId="532DD517" w14:textId="066D60A2" w:rsidR="00216382" w:rsidRPr="0039344A" w:rsidRDefault="00107C3D" w:rsidP="00080937">
            <w:pPr>
              <w:spacing w:line="276" w:lineRule="auto"/>
              <w:rPr>
                <w:b/>
                <w:bCs/>
                <w:sz w:val="22"/>
                <w:szCs w:val="22"/>
              </w:rPr>
            </w:pPr>
            <w:r>
              <w:rPr>
                <w:b/>
                <w:bCs/>
                <w:sz w:val="22"/>
                <w:szCs w:val="22"/>
              </w:rPr>
              <w:lastRenderedPageBreak/>
              <w:t>S. Elfeky</w:t>
            </w:r>
          </w:p>
        </w:tc>
      </w:tr>
      <w:tr w:rsidR="00216382" w:rsidRPr="0039344A" w14:paraId="1BDF0C40" w14:textId="77777777" w:rsidTr="003E3B22">
        <w:tc>
          <w:tcPr>
            <w:tcW w:w="770" w:type="pct"/>
            <w:gridSpan w:val="2"/>
            <w:shd w:val="clear" w:color="auto" w:fill="EEECE1" w:themeFill="background2"/>
          </w:tcPr>
          <w:p w14:paraId="33E78E64" w14:textId="77777777" w:rsidR="00216382" w:rsidRPr="0039344A" w:rsidRDefault="00216382" w:rsidP="00A9698C">
            <w:pPr>
              <w:pStyle w:val="Style11ptLinespacing15lines"/>
            </w:pPr>
            <w:r w:rsidRPr="0039344A">
              <w:t>14.30-15.00</w:t>
            </w:r>
          </w:p>
        </w:tc>
        <w:tc>
          <w:tcPr>
            <w:tcW w:w="3258" w:type="pct"/>
            <w:shd w:val="clear" w:color="auto" w:fill="EEECE1" w:themeFill="background2"/>
          </w:tcPr>
          <w:p w14:paraId="554E6E7D" w14:textId="321BDD6B" w:rsidR="00216382" w:rsidRPr="00A51D80" w:rsidRDefault="00A51D80" w:rsidP="00A51D80">
            <w:pPr>
              <w:spacing w:line="276" w:lineRule="auto"/>
              <w:rPr>
                <w:i/>
                <w:iCs/>
                <w:sz w:val="22"/>
                <w:szCs w:val="22"/>
              </w:rPr>
            </w:pPr>
            <w:r w:rsidRPr="00A51D80">
              <w:rPr>
                <w:i/>
                <w:iCs/>
                <w:sz w:val="22"/>
                <w:szCs w:val="22"/>
              </w:rPr>
              <w:t>Break</w:t>
            </w:r>
          </w:p>
        </w:tc>
        <w:tc>
          <w:tcPr>
            <w:tcW w:w="972" w:type="pct"/>
            <w:gridSpan w:val="2"/>
            <w:shd w:val="clear" w:color="auto" w:fill="EEECE1" w:themeFill="background2"/>
          </w:tcPr>
          <w:p w14:paraId="3CF19B49" w14:textId="77777777" w:rsidR="00216382" w:rsidRPr="0039344A" w:rsidRDefault="00216382" w:rsidP="00A51D80">
            <w:pPr>
              <w:spacing w:line="276" w:lineRule="auto"/>
              <w:rPr>
                <w:b/>
                <w:bCs/>
                <w:i/>
                <w:iCs/>
                <w:sz w:val="22"/>
                <w:szCs w:val="22"/>
              </w:rPr>
            </w:pPr>
          </w:p>
        </w:tc>
      </w:tr>
      <w:tr w:rsidR="00AD2329" w:rsidRPr="0039344A" w14:paraId="34B8F55D" w14:textId="122A4AFF" w:rsidTr="003E3B22">
        <w:trPr>
          <w:trHeight w:val="263"/>
        </w:trPr>
        <w:tc>
          <w:tcPr>
            <w:tcW w:w="770" w:type="pct"/>
            <w:gridSpan w:val="2"/>
            <w:shd w:val="clear" w:color="auto" w:fill="auto"/>
          </w:tcPr>
          <w:p w14:paraId="5B508BEE" w14:textId="573E5EEB" w:rsidR="00AD2329" w:rsidRPr="0039344A" w:rsidRDefault="00791B4B" w:rsidP="00A9698C">
            <w:pPr>
              <w:pStyle w:val="Style11ptLinespacing15lines"/>
            </w:pPr>
            <w:r>
              <w:t>15.00</w:t>
            </w:r>
            <w:r w:rsidR="00AD2329" w:rsidRPr="0039344A">
              <w:t>-1</w:t>
            </w:r>
            <w:r>
              <w:t>7</w:t>
            </w:r>
            <w:r w:rsidR="00AD2329" w:rsidRPr="0039344A">
              <w:t>.00</w:t>
            </w:r>
          </w:p>
          <w:p w14:paraId="0C633BB3" w14:textId="77777777" w:rsidR="00AD2329" w:rsidRPr="0039344A" w:rsidRDefault="00AD2329" w:rsidP="00A9698C">
            <w:pPr>
              <w:pStyle w:val="Style11ptLinespacing15lines"/>
            </w:pPr>
          </w:p>
          <w:p w14:paraId="1FC5253C" w14:textId="3C14FE0E" w:rsidR="00AD2329" w:rsidRPr="0039344A" w:rsidRDefault="00AD2329" w:rsidP="00A9698C">
            <w:pPr>
              <w:pStyle w:val="Style11ptLinespacing15lines"/>
            </w:pPr>
          </w:p>
        </w:tc>
        <w:tc>
          <w:tcPr>
            <w:tcW w:w="3258" w:type="pct"/>
            <w:shd w:val="clear" w:color="auto" w:fill="auto"/>
          </w:tcPr>
          <w:p w14:paraId="29899269" w14:textId="09FDA155" w:rsidR="00C96088" w:rsidRPr="0039344A" w:rsidRDefault="00C96088" w:rsidP="00C96088">
            <w:pPr>
              <w:spacing w:line="276" w:lineRule="auto"/>
              <w:rPr>
                <w:b/>
                <w:bCs/>
                <w:sz w:val="22"/>
                <w:szCs w:val="22"/>
              </w:rPr>
            </w:pPr>
            <w:r w:rsidRPr="0039344A">
              <w:rPr>
                <w:b/>
                <w:bCs/>
                <w:sz w:val="22"/>
                <w:szCs w:val="22"/>
              </w:rPr>
              <w:t xml:space="preserve">Session </w:t>
            </w:r>
            <w:r w:rsidR="00235304">
              <w:rPr>
                <w:b/>
                <w:bCs/>
                <w:sz w:val="22"/>
                <w:szCs w:val="22"/>
              </w:rPr>
              <w:t>7</w:t>
            </w:r>
            <w:r w:rsidRPr="0039344A">
              <w:rPr>
                <w:b/>
                <w:bCs/>
                <w:sz w:val="22"/>
                <w:szCs w:val="22"/>
              </w:rPr>
              <w:t xml:space="preserve">: </w:t>
            </w:r>
            <w:r>
              <w:rPr>
                <w:b/>
                <w:bCs/>
                <w:sz w:val="22"/>
                <w:szCs w:val="22"/>
              </w:rPr>
              <w:t>Deep Dive on the Economic and Commercial Determinants of Health</w:t>
            </w:r>
          </w:p>
          <w:p w14:paraId="1DC2A1A2" w14:textId="77777777" w:rsidR="00C96088" w:rsidRDefault="00C96088" w:rsidP="00C96088">
            <w:pPr>
              <w:tabs>
                <w:tab w:val="left" w:pos="426"/>
              </w:tabs>
              <w:ind w:right="-20"/>
              <w:rPr>
                <w:bCs/>
                <w:i/>
                <w:iCs/>
                <w:sz w:val="22"/>
                <w:szCs w:val="22"/>
              </w:rPr>
            </w:pPr>
            <w:r w:rsidRPr="0039344A">
              <w:rPr>
                <w:bCs/>
                <w:i/>
                <w:iCs/>
                <w:sz w:val="22"/>
                <w:szCs w:val="22"/>
              </w:rPr>
              <w:t>This session will discuss and review the scope of activities, priority outputs and key products of the CED workstream for 2023 and forthcoming 2024/25 biennium, including joint activities with other relevant units in 2024-25 workplans.</w:t>
            </w:r>
          </w:p>
          <w:p w14:paraId="25FF788E" w14:textId="503CBB08" w:rsidR="00C96088" w:rsidRPr="00B630DB" w:rsidRDefault="006F497A" w:rsidP="00C96088">
            <w:pPr>
              <w:pStyle w:val="ListParagraph"/>
              <w:numPr>
                <w:ilvl w:val="0"/>
                <w:numId w:val="23"/>
              </w:numPr>
              <w:spacing w:line="276" w:lineRule="auto"/>
              <w:rPr>
                <w:bCs/>
                <w:i/>
                <w:iCs/>
                <w:sz w:val="22"/>
                <w:szCs w:val="22"/>
                <w:lang w:val="it-IT"/>
              </w:rPr>
            </w:pPr>
            <w:r>
              <w:rPr>
                <w:b/>
                <w:sz w:val="22"/>
                <w:szCs w:val="22"/>
                <w:lang w:val="it-IT"/>
              </w:rPr>
              <w:t xml:space="preserve">How can the </w:t>
            </w:r>
            <w:r w:rsidR="00C96088">
              <w:rPr>
                <w:b/>
                <w:sz w:val="22"/>
                <w:szCs w:val="22"/>
                <w:lang w:val="it-IT"/>
              </w:rPr>
              <w:t>Global Report on the C</w:t>
            </w:r>
            <w:r w:rsidR="003B6A44">
              <w:rPr>
                <w:b/>
                <w:sz w:val="22"/>
                <w:szCs w:val="22"/>
                <w:lang w:val="it-IT"/>
              </w:rPr>
              <w:t>D</w:t>
            </w:r>
            <w:r w:rsidR="00C96088">
              <w:rPr>
                <w:b/>
                <w:sz w:val="22"/>
                <w:szCs w:val="22"/>
                <w:lang w:val="it-IT"/>
              </w:rPr>
              <w:t>oH</w:t>
            </w:r>
            <w:r>
              <w:rPr>
                <w:b/>
                <w:sz w:val="22"/>
                <w:szCs w:val="22"/>
                <w:lang w:val="it-IT"/>
              </w:rPr>
              <w:t xml:space="preserve"> support regions and countries</w:t>
            </w:r>
            <w:r w:rsidR="00E842E2">
              <w:rPr>
                <w:b/>
                <w:sz w:val="22"/>
                <w:szCs w:val="22"/>
                <w:lang w:val="it-IT"/>
              </w:rPr>
              <w:t>?</w:t>
            </w:r>
          </w:p>
          <w:p w14:paraId="54C09C21" w14:textId="3F7A3B47" w:rsidR="00C96088" w:rsidRPr="0014091C" w:rsidRDefault="00E842E2" w:rsidP="00C96088">
            <w:pPr>
              <w:pStyle w:val="ListParagraph"/>
              <w:numPr>
                <w:ilvl w:val="0"/>
                <w:numId w:val="23"/>
              </w:numPr>
              <w:spacing w:line="276" w:lineRule="auto"/>
              <w:rPr>
                <w:bCs/>
                <w:i/>
                <w:iCs/>
                <w:sz w:val="22"/>
                <w:szCs w:val="22"/>
                <w:lang w:val="it-IT"/>
              </w:rPr>
            </w:pPr>
            <w:r>
              <w:rPr>
                <w:b/>
                <w:sz w:val="22"/>
                <w:szCs w:val="22"/>
                <w:lang w:val="it-IT"/>
              </w:rPr>
              <w:t>What are the main gaps and needs at country level for tool development</w:t>
            </w:r>
            <w:r w:rsidR="00C96088">
              <w:rPr>
                <w:b/>
                <w:sz w:val="22"/>
                <w:szCs w:val="22"/>
                <w:lang w:val="it-IT"/>
              </w:rPr>
              <w:t xml:space="preserve"> to address C</w:t>
            </w:r>
            <w:r w:rsidR="006F497A">
              <w:rPr>
                <w:b/>
                <w:sz w:val="22"/>
                <w:szCs w:val="22"/>
                <w:lang w:val="it-IT"/>
              </w:rPr>
              <w:t>D</w:t>
            </w:r>
            <w:r w:rsidR="00C96088">
              <w:rPr>
                <w:b/>
                <w:sz w:val="22"/>
                <w:szCs w:val="22"/>
                <w:lang w:val="it-IT"/>
              </w:rPr>
              <w:t>oH</w:t>
            </w:r>
          </w:p>
          <w:p w14:paraId="4EBF955F" w14:textId="08EBAD8A" w:rsidR="00C96088" w:rsidRPr="00B630DB" w:rsidRDefault="00E842E2" w:rsidP="00C96088">
            <w:pPr>
              <w:pStyle w:val="ListParagraph"/>
              <w:numPr>
                <w:ilvl w:val="0"/>
                <w:numId w:val="23"/>
              </w:numPr>
              <w:spacing w:line="276" w:lineRule="auto"/>
              <w:rPr>
                <w:b/>
                <w:i/>
                <w:iCs/>
                <w:sz w:val="22"/>
                <w:szCs w:val="22"/>
                <w:lang w:val="it-IT"/>
              </w:rPr>
            </w:pPr>
            <w:r>
              <w:rPr>
                <w:b/>
                <w:sz w:val="22"/>
                <w:szCs w:val="22"/>
                <w:lang w:val="it-IT"/>
              </w:rPr>
              <w:t xml:space="preserve">How can the </w:t>
            </w:r>
            <w:r w:rsidR="00464BF2">
              <w:rPr>
                <w:b/>
                <w:sz w:val="22"/>
                <w:szCs w:val="22"/>
                <w:lang w:val="it-IT"/>
              </w:rPr>
              <w:t>links to the economic determinants (new economic models, discussions of innovative public and private financing</w:t>
            </w:r>
            <w:r w:rsidR="004B338E">
              <w:rPr>
                <w:b/>
                <w:sz w:val="22"/>
                <w:szCs w:val="22"/>
                <w:lang w:val="it-IT"/>
              </w:rPr>
              <w:t>, and global tax arrangements) be explored and strengthened?</w:t>
            </w:r>
          </w:p>
          <w:p w14:paraId="26D24F54" w14:textId="3B22F0A6" w:rsidR="00C96088" w:rsidRPr="0014091C" w:rsidRDefault="004B338E" w:rsidP="00C96088">
            <w:pPr>
              <w:pStyle w:val="ListParagraph"/>
              <w:numPr>
                <w:ilvl w:val="0"/>
                <w:numId w:val="23"/>
              </w:numPr>
              <w:spacing w:line="276" w:lineRule="auto"/>
              <w:rPr>
                <w:bCs/>
                <w:i/>
                <w:iCs/>
                <w:sz w:val="22"/>
                <w:szCs w:val="22"/>
                <w:lang w:val="it-IT"/>
              </w:rPr>
            </w:pPr>
            <w:r>
              <w:rPr>
                <w:b/>
                <w:sz w:val="22"/>
                <w:szCs w:val="22"/>
                <w:lang w:val="it-IT"/>
              </w:rPr>
              <w:t>What are the opportunities and challenging with linking to r</w:t>
            </w:r>
            <w:r w:rsidR="00C96088">
              <w:rPr>
                <w:b/>
                <w:sz w:val="22"/>
                <w:szCs w:val="22"/>
                <w:lang w:val="it-IT"/>
              </w:rPr>
              <w:t>egional and global trade discussions</w:t>
            </w:r>
            <w:r>
              <w:rPr>
                <w:b/>
                <w:sz w:val="22"/>
                <w:szCs w:val="22"/>
                <w:lang w:val="it-IT"/>
              </w:rPr>
              <w:t>?</w:t>
            </w:r>
          </w:p>
          <w:p w14:paraId="6D3A1FFB" w14:textId="6D370A17" w:rsidR="00C96088" w:rsidRPr="0014091C" w:rsidRDefault="004B338E" w:rsidP="00C96088">
            <w:pPr>
              <w:pStyle w:val="ListParagraph"/>
              <w:numPr>
                <w:ilvl w:val="0"/>
                <w:numId w:val="23"/>
              </w:numPr>
              <w:tabs>
                <w:tab w:val="left" w:pos="426"/>
              </w:tabs>
              <w:ind w:right="-20"/>
              <w:rPr>
                <w:b/>
                <w:sz w:val="22"/>
                <w:szCs w:val="22"/>
              </w:rPr>
            </w:pPr>
            <w:r>
              <w:rPr>
                <w:b/>
                <w:sz w:val="22"/>
                <w:szCs w:val="22"/>
              </w:rPr>
              <w:t>AOB</w:t>
            </w:r>
          </w:p>
          <w:p w14:paraId="69E9D18C" w14:textId="77777777" w:rsidR="00C96088" w:rsidRPr="0039344A" w:rsidRDefault="00C96088" w:rsidP="00C96088">
            <w:pPr>
              <w:spacing w:line="276" w:lineRule="auto"/>
              <w:rPr>
                <w:sz w:val="22"/>
                <w:szCs w:val="22"/>
              </w:rPr>
            </w:pPr>
          </w:p>
          <w:p w14:paraId="4DAA3CE8" w14:textId="5A0E5E7D" w:rsidR="00AD2329" w:rsidRPr="0039344A" w:rsidRDefault="00C96088" w:rsidP="00C96088">
            <w:pPr>
              <w:tabs>
                <w:tab w:val="left" w:pos="426"/>
              </w:tabs>
              <w:ind w:right="-20"/>
              <w:rPr>
                <w:b/>
                <w:bCs/>
                <w:sz w:val="22"/>
                <w:szCs w:val="22"/>
              </w:rPr>
            </w:pPr>
            <w:r w:rsidRPr="0039344A">
              <w:rPr>
                <w:sz w:val="22"/>
                <w:szCs w:val="22"/>
              </w:rPr>
              <w:t xml:space="preserve">Rapporteur: </w:t>
            </w:r>
            <w:r w:rsidR="00235304">
              <w:rPr>
                <w:b/>
                <w:bCs/>
                <w:sz w:val="22"/>
                <w:szCs w:val="22"/>
              </w:rPr>
              <w:t>EMRO</w:t>
            </w:r>
          </w:p>
        </w:tc>
        <w:tc>
          <w:tcPr>
            <w:tcW w:w="972" w:type="pct"/>
            <w:gridSpan w:val="2"/>
            <w:shd w:val="clear" w:color="auto" w:fill="auto"/>
          </w:tcPr>
          <w:p w14:paraId="7B8BD733" w14:textId="38BDF087" w:rsidR="00AD2329" w:rsidRPr="0039344A" w:rsidRDefault="00A51425" w:rsidP="00A16F02">
            <w:pPr>
              <w:spacing w:line="276" w:lineRule="auto"/>
              <w:rPr>
                <w:b/>
                <w:bCs/>
                <w:sz w:val="22"/>
                <w:szCs w:val="22"/>
              </w:rPr>
            </w:pPr>
            <w:r>
              <w:rPr>
                <w:b/>
                <w:bCs/>
                <w:sz w:val="22"/>
                <w:szCs w:val="22"/>
              </w:rPr>
              <w:t>K. W</w:t>
            </w:r>
            <w:r w:rsidR="00235304">
              <w:rPr>
                <w:b/>
                <w:bCs/>
                <w:sz w:val="22"/>
                <w:szCs w:val="22"/>
              </w:rPr>
              <w:t>ickramasinghe</w:t>
            </w:r>
          </w:p>
        </w:tc>
      </w:tr>
    </w:tbl>
    <w:p w14:paraId="67F7FD53" w14:textId="7516FE5C" w:rsidR="00A51D80" w:rsidRDefault="00A51D80"/>
    <w:p w14:paraId="488CA02B" w14:textId="77777777" w:rsidR="00017267" w:rsidRDefault="00017267"/>
    <w:tbl>
      <w:tblPr>
        <w:tblW w:w="5000" w:type="pct"/>
        <w:tblLook w:val="01E0" w:firstRow="1" w:lastRow="1" w:firstColumn="1" w:lastColumn="1" w:noHBand="0" w:noVBand="0"/>
      </w:tblPr>
      <w:tblGrid>
        <w:gridCol w:w="1351"/>
        <w:gridCol w:w="6479"/>
        <w:gridCol w:w="1525"/>
      </w:tblGrid>
      <w:tr w:rsidR="00AD2329" w:rsidRPr="0039344A" w14:paraId="64AC5FE9" w14:textId="2BE14AD3" w:rsidTr="003A49C2">
        <w:trPr>
          <w:trHeight w:val="370"/>
        </w:trPr>
        <w:tc>
          <w:tcPr>
            <w:tcW w:w="4185" w:type="pct"/>
            <w:gridSpan w:val="2"/>
            <w:shd w:val="clear" w:color="auto" w:fill="auto"/>
          </w:tcPr>
          <w:p w14:paraId="0D32636D" w14:textId="759B7582" w:rsidR="00AD2329" w:rsidRPr="0039344A" w:rsidRDefault="00AD2329" w:rsidP="00426F07">
            <w:pPr>
              <w:shd w:val="clear" w:color="auto" w:fill="DDD9C3" w:themeFill="background2" w:themeFillShade="E6"/>
              <w:spacing w:after="240" w:line="276" w:lineRule="auto"/>
              <w:rPr>
                <w:b/>
                <w:bCs/>
                <w:sz w:val="22"/>
                <w:szCs w:val="22"/>
              </w:rPr>
            </w:pPr>
            <w:r w:rsidRPr="0039344A">
              <w:rPr>
                <w:b/>
                <w:bCs/>
                <w:sz w:val="22"/>
                <w:szCs w:val="22"/>
              </w:rPr>
              <w:t>DAY 3: Thursday 27 April 2023</w:t>
            </w:r>
          </w:p>
          <w:p w14:paraId="611D0E3C" w14:textId="489D348B" w:rsidR="00AD2329" w:rsidRPr="0039344A" w:rsidRDefault="00AD2329" w:rsidP="00426F07">
            <w:pPr>
              <w:spacing w:after="240" w:line="276" w:lineRule="auto"/>
              <w:rPr>
                <w:b/>
                <w:bCs/>
                <w:sz w:val="22"/>
                <w:szCs w:val="22"/>
              </w:rPr>
            </w:pPr>
            <w:r w:rsidRPr="0039344A">
              <w:rPr>
                <w:b/>
                <w:bCs/>
                <w:sz w:val="22"/>
                <w:szCs w:val="22"/>
              </w:rPr>
              <w:t>Location: M505</w:t>
            </w:r>
          </w:p>
        </w:tc>
        <w:tc>
          <w:tcPr>
            <w:tcW w:w="815" w:type="pct"/>
          </w:tcPr>
          <w:p w14:paraId="7D003AF1" w14:textId="77777777" w:rsidR="00AD2329" w:rsidRPr="0039344A" w:rsidRDefault="00AD2329" w:rsidP="00426F07">
            <w:pPr>
              <w:shd w:val="clear" w:color="auto" w:fill="DDD9C3" w:themeFill="background2" w:themeFillShade="E6"/>
              <w:spacing w:after="240" w:line="276" w:lineRule="auto"/>
              <w:rPr>
                <w:b/>
                <w:bCs/>
                <w:sz w:val="22"/>
                <w:szCs w:val="22"/>
              </w:rPr>
            </w:pPr>
          </w:p>
        </w:tc>
      </w:tr>
      <w:tr w:rsidR="005248F7" w:rsidRPr="005248F7" w14:paraId="6A32B0A0" w14:textId="77777777" w:rsidTr="00080937">
        <w:tc>
          <w:tcPr>
            <w:tcW w:w="722" w:type="pct"/>
            <w:shd w:val="clear" w:color="auto" w:fill="auto"/>
          </w:tcPr>
          <w:p w14:paraId="54F077ED" w14:textId="3F36E829" w:rsidR="005248F7" w:rsidRPr="005248F7" w:rsidRDefault="006A1054" w:rsidP="00A9698C">
            <w:pPr>
              <w:pStyle w:val="Style11ptLinespacing15lines"/>
            </w:pPr>
            <w:r>
              <w:t>09.00</w:t>
            </w:r>
            <w:r w:rsidR="005248F7" w:rsidRPr="005248F7">
              <w:t>-</w:t>
            </w:r>
            <w:r>
              <w:t>10.</w:t>
            </w:r>
            <w:r w:rsidR="00152F89">
              <w:t>00</w:t>
            </w:r>
          </w:p>
        </w:tc>
        <w:tc>
          <w:tcPr>
            <w:tcW w:w="3463" w:type="pct"/>
            <w:shd w:val="clear" w:color="auto" w:fill="auto"/>
          </w:tcPr>
          <w:p w14:paraId="2835ADFE" w14:textId="35410F84" w:rsidR="005248F7" w:rsidRPr="005248F7" w:rsidRDefault="005248F7" w:rsidP="00080937">
            <w:pPr>
              <w:spacing w:line="276" w:lineRule="auto"/>
              <w:rPr>
                <w:b/>
                <w:bCs/>
                <w:sz w:val="22"/>
                <w:szCs w:val="22"/>
              </w:rPr>
            </w:pPr>
            <w:r w:rsidRPr="005248F7">
              <w:rPr>
                <w:b/>
                <w:bCs/>
                <w:sz w:val="22"/>
                <w:szCs w:val="22"/>
              </w:rPr>
              <w:t xml:space="preserve">Session </w:t>
            </w:r>
            <w:r w:rsidR="00B24CBE">
              <w:rPr>
                <w:b/>
                <w:bCs/>
                <w:sz w:val="22"/>
                <w:szCs w:val="22"/>
              </w:rPr>
              <w:t>8</w:t>
            </w:r>
            <w:r w:rsidRPr="005248F7">
              <w:rPr>
                <w:b/>
                <w:bCs/>
                <w:sz w:val="22"/>
                <w:szCs w:val="22"/>
              </w:rPr>
              <w:t>: Joining up the agendas and the broader WHO context</w:t>
            </w:r>
          </w:p>
          <w:p w14:paraId="2E60BC85" w14:textId="77777777" w:rsidR="005248F7" w:rsidRPr="005248F7" w:rsidRDefault="005248F7" w:rsidP="00080937">
            <w:pPr>
              <w:spacing w:after="240" w:line="276" w:lineRule="auto"/>
              <w:rPr>
                <w:bCs/>
                <w:i/>
                <w:iCs/>
                <w:sz w:val="22"/>
                <w:szCs w:val="22"/>
              </w:rPr>
            </w:pPr>
            <w:r w:rsidRPr="005248F7">
              <w:rPr>
                <w:bCs/>
                <w:i/>
                <w:iCs/>
                <w:sz w:val="22"/>
                <w:szCs w:val="22"/>
              </w:rPr>
              <w:t>This session will provide an overview of the broader organizational developments linking to the EQH/URB/CED workstreams (7 minutes per presentation)</w:t>
            </w:r>
          </w:p>
          <w:p w14:paraId="502D0C96" w14:textId="77777777" w:rsidR="005248F7" w:rsidRPr="005248F7" w:rsidRDefault="005248F7" w:rsidP="00080937">
            <w:pPr>
              <w:rPr>
                <w:b/>
                <w:bCs/>
                <w:sz w:val="22"/>
                <w:szCs w:val="22"/>
              </w:rPr>
            </w:pPr>
            <w:r w:rsidRPr="005248F7">
              <w:rPr>
                <w:sz w:val="22"/>
                <w:szCs w:val="22"/>
              </w:rPr>
              <w:t xml:space="preserve">Speakers: </w:t>
            </w:r>
          </w:p>
          <w:p w14:paraId="6B48C143" w14:textId="27B18809" w:rsidR="005248F7" w:rsidRPr="005248F7" w:rsidRDefault="005248F7" w:rsidP="005248F7">
            <w:pPr>
              <w:pStyle w:val="ListParagraph"/>
              <w:numPr>
                <w:ilvl w:val="0"/>
                <w:numId w:val="8"/>
              </w:numPr>
              <w:rPr>
                <w:b/>
                <w:bCs/>
                <w:sz w:val="22"/>
                <w:szCs w:val="22"/>
              </w:rPr>
            </w:pPr>
            <w:r w:rsidRPr="005248F7">
              <w:rPr>
                <w:b/>
                <w:bCs/>
                <w:sz w:val="22"/>
                <w:szCs w:val="22"/>
              </w:rPr>
              <w:t>WHO Special Initiative on Primary Health Care: Suraya Da</w:t>
            </w:r>
            <w:r w:rsidR="00516ABD">
              <w:rPr>
                <w:b/>
                <w:bCs/>
                <w:sz w:val="22"/>
                <w:szCs w:val="22"/>
              </w:rPr>
              <w:t>l</w:t>
            </w:r>
            <w:r w:rsidRPr="005248F7">
              <w:rPr>
                <w:b/>
                <w:bCs/>
                <w:sz w:val="22"/>
                <w:szCs w:val="22"/>
              </w:rPr>
              <w:t>il, Director, HQ/UHL/PHC</w:t>
            </w:r>
            <w:r w:rsidR="00561137">
              <w:rPr>
                <w:b/>
                <w:bCs/>
                <w:sz w:val="22"/>
                <w:szCs w:val="22"/>
              </w:rPr>
              <w:t xml:space="preserve"> (confirmed)</w:t>
            </w:r>
          </w:p>
          <w:p w14:paraId="1428CFBD" w14:textId="327C0405" w:rsidR="00ED21D3" w:rsidRDefault="005248F7" w:rsidP="005248F7">
            <w:pPr>
              <w:pStyle w:val="ListParagraph"/>
              <w:numPr>
                <w:ilvl w:val="0"/>
                <w:numId w:val="8"/>
              </w:numPr>
              <w:rPr>
                <w:b/>
                <w:bCs/>
                <w:sz w:val="22"/>
                <w:szCs w:val="22"/>
              </w:rPr>
            </w:pPr>
            <w:r w:rsidRPr="005248F7">
              <w:rPr>
                <w:b/>
                <w:bCs/>
                <w:sz w:val="22"/>
                <w:szCs w:val="22"/>
              </w:rPr>
              <w:t>WHO Economics Council: Ritu Sadana, Unit Head, HQ/AAH</w:t>
            </w:r>
            <w:r w:rsidR="00E06D8E">
              <w:rPr>
                <w:b/>
                <w:bCs/>
                <w:sz w:val="22"/>
                <w:szCs w:val="22"/>
              </w:rPr>
              <w:t xml:space="preserve"> </w:t>
            </w:r>
            <w:r w:rsidR="00E06D8E">
              <w:rPr>
                <w:b/>
                <w:bCs/>
                <w:sz w:val="22"/>
                <w:szCs w:val="22"/>
              </w:rPr>
              <w:t>(confirmed)</w:t>
            </w:r>
          </w:p>
          <w:p w14:paraId="36A7F987" w14:textId="1E42E432" w:rsidR="00F36296" w:rsidRDefault="00ED21D3" w:rsidP="00ED21D3">
            <w:pPr>
              <w:pStyle w:val="ListParagraph"/>
              <w:numPr>
                <w:ilvl w:val="0"/>
                <w:numId w:val="8"/>
              </w:numPr>
              <w:rPr>
                <w:b/>
                <w:bCs/>
                <w:sz w:val="22"/>
                <w:szCs w:val="22"/>
              </w:rPr>
            </w:pPr>
            <w:r w:rsidRPr="00ED21D3">
              <w:rPr>
                <w:b/>
                <w:bCs/>
                <w:sz w:val="22"/>
                <w:szCs w:val="22"/>
              </w:rPr>
              <w:t>WHO Europe and the Wellbeing Economy: Chris Brown, Head of Office, Investment for Health Equity</w:t>
            </w:r>
            <w:r w:rsidR="00E06D8E">
              <w:rPr>
                <w:b/>
                <w:bCs/>
                <w:sz w:val="22"/>
                <w:szCs w:val="22"/>
              </w:rPr>
              <w:t xml:space="preserve"> </w:t>
            </w:r>
            <w:r w:rsidR="00E06D8E">
              <w:rPr>
                <w:b/>
                <w:bCs/>
                <w:sz w:val="22"/>
                <w:szCs w:val="22"/>
              </w:rPr>
              <w:t>(confirmed)</w:t>
            </w:r>
            <w:r w:rsidRPr="00ED21D3">
              <w:rPr>
                <w:b/>
                <w:bCs/>
                <w:sz w:val="22"/>
                <w:szCs w:val="22"/>
              </w:rPr>
              <w:t xml:space="preserve">  </w:t>
            </w:r>
            <w:r w:rsidR="005248F7" w:rsidRPr="00ED21D3">
              <w:rPr>
                <w:b/>
                <w:bCs/>
                <w:sz w:val="22"/>
                <w:szCs w:val="22"/>
              </w:rPr>
              <w:t xml:space="preserve">   </w:t>
            </w:r>
          </w:p>
          <w:p w14:paraId="2A1EAFB3" w14:textId="77777777" w:rsidR="00C57A20" w:rsidRPr="00ED21D3" w:rsidRDefault="00C57A20" w:rsidP="00C57A20">
            <w:pPr>
              <w:pStyle w:val="ListParagraph"/>
              <w:ind w:left="360"/>
              <w:rPr>
                <w:b/>
                <w:bCs/>
                <w:sz w:val="22"/>
                <w:szCs w:val="22"/>
              </w:rPr>
            </w:pPr>
          </w:p>
          <w:p w14:paraId="73C8E315" w14:textId="1F0C51B9" w:rsidR="005248F7" w:rsidRPr="005248F7" w:rsidRDefault="005248F7" w:rsidP="00080937">
            <w:pPr>
              <w:spacing w:after="240" w:line="276" w:lineRule="auto"/>
              <w:rPr>
                <w:b/>
                <w:sz w:val="22"/>
                <w:szCs w:val="22"/>
              </w:rPr>
            </w:pPr>
            <w:r w:rsidRPr="005248F7">
              <w:rPr>
                <w:sz w:val="22"/>
                <w:szCs w:val="22"/>
              </w:rPr>
              <w:t xml:space="preserve">Rapporteur: </w:t>
            </w:r>
            <w:r w:rsidRPr="005248F7">
              <w:rPr>
                <w:b/>
                <w:bCs/>
                <w:sz w:val="22"/>
                <w:szCs w:val="22"/>
              </w:rPr>
              <w:t>HQ/CED</w:t>
            </w:r>
          </w:p>
        </w:tc>
        <w:tc>
          <w:tcPr>
            <w:tcW w:w="815" w:type="pct"/>
          </w:tcPr>
          <w:p w14:paraId="7CBC987B" w14:textId="7B91B85C" w:rsidR="005248F7" w:rsidRPr="005248F7" w:rsidRDefault="00582050" w:rsidP="00080937">
            <w:pPr>
              <w:spacing w:line="276" w:lineRule="auto"/>
              <w:rPr>
                <w:b/>
                <w:bCs/>
                <w:sz w:val="22"/>
                <w:szCs w:val="22"/>
              </w:rPr>
            </w:pPr>
            <w:r>
              <w:rPr>
                <w:b/>
                <w:bCs/>
                <w:sz w:val="22"/>
                <w:szCs w:val="22"/>
              </w:rPr>
              <w:t>J. Tiko</w:t>
            </w:r>
            <w:r w:rsidR="008F48C3">
              <w:rPr>
                <w:b/>
                <w:bCs/>
                <w:sz w:val="22"/>
                <w:szCs w:val="22"/>
              </w:rPr>
              <w:t xml:space="preserve"> </w:t>
            </w:r>
          </w:p>
        </w:tc>
      </w:tr>
      <w:tr w:rsidR="00E17648" w:rsidRPr="0039344A" w14:paraId="32AADA3E" w14:textId="77777777" w:rsidTr="00080937">
        <w:trPr>
          <w:trHeight w:val="173"/>
        </w:trPr>
        <w:tc>
          <w:tcPr>
            <w:tcW w:w="722" w:type="pct"/>
            <w:shd w:val="clear" w:color="auto" w:fill="EEECE1" w:themeFill="background2"/>
          </w:tcPr>
          <w:p w14:paraId="298F41FA" w14:textId="69F496D8" w:rsidR="00E17648" w:rsidRPr="0039344A" w:rsidRDefault="00E17648" w:rsidP="00A9698C">
            <w:pPr>
              <w:pStyle w:val="Style11ptLinespacing15lines"/>
            </w:pPr>
            <w:r>
              <w:t>10.00-10.</w:t>
            </w:r>
            <w:r w:rsidR="008A3D66">
              <w:t>15</w:t>
            </w:r>
          </w:p>
        </w:tc>
        <w:tc>
          <w:tcPr>
            <w:tcW w:w="3463" w:type="pct"/>
            <w:shd w:val="clear" w:color="auto" w:fill="EEECE1" w:themeFill="background2"/>
          </w:tcPr>
          <w:p w14:paraId="77E2DCCC" w14:textId="77777777" w:rsidR="00E17648" w:rsidRPr="0039344A" w:rsidRDefault="00E17648" w:rsidP="00080937">
            <w:pPr>
              <w:spacing w:line="276" w:lineRule="auto"/>
              <w:rPr>
                <w:i/>
                <w:iCs/>
                <w:sz w:val="22"/>
                <w:szCs w:val="22"/>
              </w:rPr>
            </w:pPr>
            <w:r w:rsidRPr="0039344A">
              <w:rPr>
                <w:i/>
                <w:iCs/>
                <w:sz w:val="22"/>
                <w:szCs w:val="22"/>
              </w:rPr>
              <w:t>Break</w:t>
            </w:r>
          </w:p>
        </w:tc>
        <w:tc>
          <w:tcPr>
            <w:tcW w:w="815" w:type="pct"/>
            <w:shd w:val="clear" w:color="auto" w:fill="EEECE1" w:themeFill="background2"/>
          </w:tcPr>
          <w:p w14:paraId="553D7B2A" w14:textId="77777777" w:rsidR="00E17648" w:rsidRPr="0039344A" w:rsidRDefault="00E17648" w:rsidP="00080937">
            <w:pPr>
              <w:spacing w:line="276" w:lineRule="auto"/>
              <w:rPr>
                <w:i/>
                <w:iCs/>
                <w:sz w:val="22"/>
                <w:szCs w:val="22"/>
              </w:rPr>
            </w:pPr>
          </w:p>
        </w:tc>
      </w:tr>
      <w:tr w:rsidR="005248F7" w:rsidRPr="0039344A" w14:paraId="39EE0911" w14:textId="77777777" w:rsidTr="00080937">
        <w:tc>
          <w:tcPr>
            <w:tcW w:w="722" w:type="pct"/>
            <w:shd w:val="clear" w:color="auto" w:fill="auto"/>
          </w:tcPr>
          <w:p w14:paraId="3CA7FA5D" w14:textId="4E85635F" w:rsidR="005248F7" w:rsidRPr="0039344A" w:rsidRDefault="006A1054" w:rsidP="00A9698C">
            <w:pPr>
              <w:pStyle w:val="Style11ptLinespacing15lines"/>
            </w:pPr>
            <w:r>
              <w:t>10.15</w:t>
            </w:r>
            <w:r w:rsidR="005248F7">
              <w:t>-</w:t>
            </w:r>
            <w:r>
              <w:t>11.30</w:t>
            </w:r>
          </w:p>
          <w:p w14:paraId="133C9B67" w14:textId="77777777" w:rsidR="005248F7" w:rsidRPr="0039344A" w:rsidRDefault="005248F7" w:rsidP="00A9698C">
            <w:pPr>
              <w:pStyle w:val="Style11ptLinespacing15lines"/>
            </w:pPr>
          </w:p>
          <w:p w14:paraId="17227B30" w14:textId="77777777" w:rsidR="005248F7" w:rsidRPr="0039344A" w:rsidRDefault="005248F7" w:rsidP="00A9698C">
            <w:pPr>
              <w:pStyle w:val="Style11ptLinespacing15lines"/>
            </w:pPr>
          </w:p>
          <w:p w14:paraId="20DC9FD4" w14:textId="77777777" w:rsidR="005248F7" w:rsidRPr="0039344A" w:rsidRDefault="005248F7" w:rsidP="00A9698C">
            <w:pPr>
              <w:pStyle w:val="Style11ptLinespacing15lines"/>
            </w:pPr>
          </w:p>
          <w:p w14:paraId="4AEC551E" w14:textId="77777777" w:rsidR="005248F7" w:rsidRPr="0039344A" w:rsidRDefault="005248F7" w:rsidP="00A9698C">
            <w:pPr>
              <w:pStyle w:val="Style11ptLinespacing15lines"/>
            </w:pPr>
          </w:p>
          <w:p w14:paraId="678A3637" w14:textId="77777777" w:rsidR="005248F7" w:rsidRPr="0039344A" w:rsidRDefault="005248F7" w:rsidP="00A9698C">
            <w:pPr>
              <w:pStyle w:val="Style11ptLinespacing15lines"/>
            </w:pPr>
          </w:p>
        </w:tc>
        <w:tc>
          <w:tcPr>
            <w:tcW w:w="3463" w:type="pct"/>
            <w:shd w:val="clear" w:color="auto" w:fill="auto"/>
          </w:tcPr>
          <w:p w14:paraId="3C4EBF69" w14:textId="58277500" w:rsidR="005248F7" w:rsidRPr="0039344A" w:rsidRDefault="005248F7" w:rsidP="00080937">
            <w:pPr>
              <w:spacing w:line="276" w:lineRule="auto"/>
              <w:rPr>
                <w:b/>
                <w:bCs/>
                <w:sz w:val="22"/>
                <w:szCs w:val="22"/>
              </w:rPr>
            </w:pPr>
            <w:r w:rsidRPr="0039344A">
              <w:rPr>
                <w:b/>
                <w:bCs/>
                <w:sz w:val="22"/>
                <w:szCs w:val="22"/>
              </w:rPr>
              <w:lastRenderedPageBreak/>
              <w:t xml:space="preserve">Session </w:t>
            </w:r>
            <w:r w:rsidR="00B24CBE">
              <w:rPr>
                <w:b/>
                <w:bCs/>
                <w:sz w:val="22"/>
                <w:szCs w:val="22"/>
              </w:rPr>
              <w:t>9</w:t>
            </w:r>
            <w:r w:rsidRPr="0039344A">
              <w:rPr>
                <w:b/>
                <w:bCs/>
                <w:sz w:val="22"/>
                <w:szCs w:val="22"/>
              </w:rPr>
              <w:t>: Joining up the agendas: learning from across WHO</w:t>
            </w:r>
          </w:p>
          <w:p w14:paraId="3411FA69" w14:textId="264BCA35" w:rsidR="005248F7" w:rsidRPr="0039344A" w:rsidRDefault="005248F7" w:rsidP="00080937">
            <w:pPr>
              <w:spacing w:after="240" w:line="276" w:lineRule="auto"/>
              <w:rPr>
                <w:i/>
                <w:iCs/>
                <w:sz w:val="22"/>
                <w:szCs w:val="22"/>
              </w:rPr>
            </w:pPr>
            <w:r w:rsidRPr="0039344A">
              <w:rPr>
                <w:i/>
                <w:iCs/>
                <w:sz w:val="22"/>
                <w:szCs w:val="22"/>
              </w:rPr>
              <w:t xml:space="preserve">This session will provide an opportunity for dialogue and updates from different teams across HQ with synergy to the </w:t>
            </w:r>
            <w:r w:rsidRPr="0039344A">
              <w:rPr>
                <w:bCs/>
                <w:i/>
                <w:iCs/>
                <w:sz w:val="22"/>
                <w:szCs w:val="22"/>
              </w:rPr>
              <w:t>EQH/URB/CED workstreams</w:t>
            </w:r>
            <w:r w:rsidR="00E17648">
              <w:rPr>
                <w:bCs/>
                <w:i/>
                <w:iCs/>
                <w:sz w:val="22"/>
                <w:szCs w:val="22"/>
              </w:rPr>
              <w:t xml:space="preserve"> </w:t>
            </w:r>
            <w:r w:rsidR="00E17648" w:rsidRPr="005248F7">
              <w:rPr>
                <w:bCs/>
                <w:i/>
                <w:iCs/>
                <w:sz w:val="22"/>
                <w:szCs w:val="22"/>
              </w:rPr>
              <w:t>(7 minutes per presentation)</w:t>
            </w:r>
          </w:p>
          <w:p w14:paraId="30C04AC3" w14:textId="77777777" w:rsidR="005248F7" w:rsidRPr="0039344A" w:rsidRDefault="005248F7" w:rsidP="00080937">
            <w:pPr>
              <w:spacing w:after="240" w:line="276" w:lineRule="auto"/>
              <w:rPr>
                <w:b/>
                <w:sz w:val="22"/>
                <w:szCs w:val="22"/>
              </w:rPr>
            </w:pPr>
            <w:r w:rsidRPr="0039344A">
              <w:rPr>
                <w:b/>
                <w:bCs/>
                <w:sz w:val="22"/>
                <w:szCs w:val="22"/>
              </w:rPr>
              <w:t>Speakers:</w:t>
            </w:r>
          </w:p>
          <w:p w14:paraId="5C00F2A8" w14:textId="3143FA22" w:rsidR="005248F7" w:rsidRPr="0039344A" w:rsidRDefault="005248F7" w:rsidP="005248F7">
            <w:pPr>
              <w:pStyle w:val="ListParagraph"/>
              <w:numPr>
                <w:ilvl w:val="0"/>
                <w:numId w:val="8"/>
              </w:numPr>
              <w:spacing w:line="276" w:lineRule="auto"/>
              <w:rPr>
                <w:b/>
                <w:bCs/>
                <w:sz w:val="22"/>
                <w:szCs w:val="22"/>
              </w:rPr>
            </w:pPr>
            <w:r w:rsidRPr="0039344A">
              <w:rPr>
                <w:b/>
                <w:bCs/>
                <w:sz w:val="22"/>
                <w:szCs w:val="22"/>
              </w:rPr>
              <w:lastRenderedPageBreak/>
              <w:t>Climate Change: Diarmid Campbell-Lendrum, Unit Head, HQ/CCH Climate Change and Health</w:t>
            </w:r>
            <w:r w:rsidR="00E06D8E">
              <w:rPr>
                <w:b/>
                <w:bCs/>
                <w:sz w:val="22"/>
                <w:szCs w:val="22"/>
              </w:rPr>
              <w:t xml:space="preserve"> </w:t>
            </w:r>
            <w:r w:rsidR="00E06D8E">
              <w:rPr>
                <w:b/>
                <w:bCs/>
                <w:sz w:val="22"/>
                <w:szCs w:val="22"/>
              </w:rPr>
              <w:t>(confirmed)</w:t>
            </w:r>
            <w:r w:rsidRPr="0039344A">
              <w:rPr>
                <w:b/>
                <w:bCs/>
                <w:sz w:val="22"/>
                <w:szCs w:val="22"/>
              </w:rPr>
              <w:t xml:space="preserve"> </w:t>
            </w:r>
            <w:r>
              <w:rPr>
                <w:b/>
                <w:bCs/>
                <w:sz w:val="22"/>
                <w:szCs w:val="22"/>
              </w:rPr>
              <w:t xml:space="preserve"> </w:t>
            </w:r>
          </w:p>
          <w:p w14:paraId="2B69EC60" w14:textId="7F43D881" w:rsidR="005248F7" w:rsidRPr="0075135C" w:rsidRDefault="005248F7" w:rsidP="005248F7">
            <w:pPr>
              <w:pStyle w:val="ListParagraph"/>
              <w:numPr>
                <w:ilvl w:val="0"/>
                <w:numId w:val="8"/>
              </w:numPr>
              <w:spacing w:line="276" w:lineRule="auto"/>
              <w:rPr>
                <w:sz w:val="22"/>
                <w:szCs w:val="22"/>
              </w:rPr>
            </w:pPr>
            <w:r w:rsidRPr="0039344A">
              <w:rPr>
                <w:b/>
                <w:bCs/>
                <w:sz w:val="22"/>
                <w:szCs w:val="22"/>
              </w:rPr>
              <w:t xml:space="preserve">ONE Health: </w:t>
            </w:r>
            <w:r w:rsidR="0097032B">
              <w:rPr>
                <w:b/>
                <w:bCs/>
                <w:sz w:val="22"/>
                <w:szCs w:val="22"/>
              </w:rPr>
              <w:t>Ong-orn (Aim) P</w:t>
            </w:r>
            <w:r w:rsidR="0097032B" w:rsidRPr="0097032B">
              <w:rPr>
                <w:b/>
                <w:bCs/>
                <w:sz w:val="22"/>
                <w:szCs w:val="22"/>
              </w:rPr>
              <w:t>rasarnphanich</w:t>
            </w:r>
            <w:r w:rsidRPr="0039344A">
              <w:rPr>
                <w:b/>
                <w:bCs/>
                <w:sz w:val="22"/>
                <w:szCs w:val="22"/>
              </w:rPr>
              <w:t xml:space="preserve">, </w:t>
            </w:r>
            <w:r w:rsidR="001230A4">
              <w:rPr>
                <w:b/>
                <w:bCs/>
                <w:sz w:val="22"/>
                <w:szCs w:val="22"/>
              </w:rPr>
              <w:t>Technical Officer</w:t>
            </w:r>
            <w:r w:rsidRPr="0039344A">
              <w:rPr>
                <w:b/>
                <w:bCs/>
                <w:sz w:val="22"/>
                <w:szCs w:val="22"/>
              </w:rPr>
              <w:t xml:space="preserve">, HQ/HAI Human Animal Interface for IHR </w:t>
            </w:r>
            <w:r w:rsidR="005D0426">
              <w:rPr>
                <w:b/>
                <w:bCs/>
                <w:sz w:val="22"/>
                <w:szCs w:val="22"/>
              </w:rPr>
              <w:t>(confirmed)</w:t>
            </w:r>
          </w:p>
          <w:p w14:paraId="199DF472" w14:textId="77777777" w:rsidR="005248F7" w:rsidRPr="0039344A" w:rsidRDefault="005248F7" w:rsidP="005248F7">
            <w:pPr>
              <w:pStyle w:val="ListParagraph"/>
              <w:numPr>
                <w:ilvl w:val="0"/>
                <w:numId w:val="8"/>
              </w:numPr>
              <w:spacing w:line="276" w:lineRule="auto"/>
              <w:rPr>
                <w:sz w:val="22"/>
                <w:szCs w:val="22"/>
              </w:rPr>
            </w:pPr>
            <w:r w:rsidRPr="0039344A">
              <w:rPr>
                <w:b/>
                <w:bCs/>
                <w:sz w:val="22"/>
                <w:szCs w:val="22"/>
              </w:rPr>
              <w:t xml:space="preserve">WHO Wellbeing Agenda: Faten Ben Abdelaziz, Unit Head, HQ/WEL Enhanced Wellbeing </w:t>
            </w:r>
            <w:r>
              <w:rPr>
                <w:b/>
                <w:bCs/>
                <w:sz w:val="22"/>
                <w:szCs w:val="22"/>
              </w:rPr>
              <w:t xml:space="preserve"> </w:t>
            </w:r>
          </w:p>
          <w:p w14:paraId="5BB77D86" w14:textId="77777777" w:rsidR="005248F7" w:rsidRPr="0039344A" w:rsidRDefault="005248F7" w:rsidP="00080937">
            <w:pPr>
              <w:spacing w:line="276" w:lineRule="auto"/>
              <w:rPr>
                <w:i/>
                <w:iCs/>
                <w:sz w:val="22"/>
                <w:szCs w:val="22"/>
              </w:rPr>
            </w:pPr>
          </w:p>
          <w:p w14:paraId="29575BCB" w14:textId="75CCF346" w:rsidR="005248F7" w:rsidRPr="0039344A" w:rsidRDefault="005248F7" w:rsidP="00080937">
            <w:pPr>
              <w:spacing w:after="240" w:line="276" w:lineRule="auto"/>
              <w:rPr>
                <w:sz w:val="22"/>
                <w:szCs w:val="22"/>
              </w:rPr>
            </w:pPr>
            <w:r w:rsidRPr="0039344A">
              <w:rPr>
                <w:sz w:val="22"/>
                <w:szCs w:val="22"/>
              </w:rPr>
              <w:t xml:space="preserve">Rapporteur: </w:t>
            </w:r>
            <w:r w:rsidRPr="0039344A">
              <w:rPr>
                <w:b/>
                <w:bCs/>
                <w:sz w:val="22"/>
                <w:szCs w:val="22"/>
              </w:rPr>
              <w:t>HQ/</w:t>
            </w:r>
            <w:r w:rsidR="0047794D">
              <w:rPr>
                <w:b/>
                <w:bCs/>
                <w:sz w:val="22"/>
                <w:szCs w:val="22"/>
              </w:rPr>
              <w:t>URB</w:t>
            </w:r>
          </w:p>
        </w:tc>
        <w:tc>
          <w:tcPr>
            <w:tcW w:w="815" w:type="pct"/>
          </w:tcPr>
          <w:p w14:paraId="1769339F" w14:textId="43901519" w:rsidR="005248F7" w:rsidRPr="0039344A" w:rsidRDefault="001F5445" w:rsidP="00080937">
            <w:pPr>
              <w:spacing w:line="276" w:lineRule="auto"/>
              <w:rPr>
                <w:b/>
                <w:bCs/>
                <w:sz w:val="22"/>
                <w:szCs w:val="22"/>
              </w:rPr>
            </w:pPr>
            <w:r>
              <w:rPr>
                <w:b/>
                <w:bCs/>
                <w:sz w:val="22"/>
                <w:szCs w:val="22"/>
              </w:rPr>
              <w:lastRenderedPageBreak/>
              <w:t>S. Netanyahu</w:t>
            </w:r>
          </w:p>
        </w:tc>
      </w:tr>
      <w:tr w:rsidR="00183162" w:rsidRPr="0039344A" w14:paraId="45E3B1E4" w14:textId="77777777" w:rsidTr="00080937">
        <w:tc>
          <w:tcPr>
            <w:tcW w:w="722" w:type="pct"/>
            <w:shd w:val="clear" w:color="auto" w:fill="auto"/>
          </w:tcPr>
          <w:p w14:paraId="34821174" w14:textId="2E23A14A" w:rsidR="00183162" w:rsidRPr="0039344A" w:rsidRDefault="006A1054" w:rsidP="00A9698C">
            <w:pPr>
              <w:pStyle w:val="Style11ptLinespacing15lines"/>
            </w:pPr>
            <w:r>
              <w:t>11</w:t>
            </w:r>
            <w:r w:rsidR="00183162">
              <w:t>.</w:t>
            </w:r>
            <w:r>
              <w:t>30</w:t>
            </w:r>
            <w:r w:rsidR="00183162">
              <w:t>-</w:t>
            </w:r>
            <w:r>
              <w:t>12</w:t>
            </w:r>
            <w:r w:rsidR="00183162">
              <w:t>.</w:t>
            </w:r>
            <w:r>
              <w:t>30</w:t>
            </w:r>
          </w:p>
        </w:tc>
        <w:tc>
          <w:tcPr>
            <w:tcW w:w="3463" w:type="pct"/>
            <w:shd w:val="clear" w:color="auto" w:fill="auto"/>
          </w:tcPr>
          <w:p w14:paraId="7CE4715E" w14:textId="5080B8DA" w:rsidR="00183162" w:rsidRPr="0039344A" w:rsidRDefault="00183162" w:rsidP="00080937">
            <w:pPr>
              <w:spacing w:line="276" w:lineRule="auto"/>
              <w:rPr>
                <w:bCs/>
                <w:sz w:val="22"/>
                <w:szCs w:val="22"/>
              </w:rPr>
            </w:pPr>
            <w:r w:rsidRPr="0039344A">
              <w:rPr>
                <w:b/>
                <w:bCs/>
                <w:sz w:val="22"/>
                <w:szCs w:val="22"/>
              </w:rPr>
              <w:t xml:space="preserve">Session </w:t>
            </w:r>
            <w:r w:rsidR="00B24CBE">
              <w:rPr>
                <w:b/>
                <w:bCs/>
                <w:sz w:val="22"/>
                <w:szCs w:val="22"/>
              </w:rPr>
              <w:t>10</w:t>
            </w:r>
            <w:r w:rsidRPr="0039344A">
              <w:rPr>
                <w:b/>
                <w:bCs/>
                <w:sz w:val="22"/>
                <w:szCs w:val="22"/>
              </w:rPr>
              <w:t xml:space="preserve">a: Framing and messaging: action on social determinants and framing vulnerability </w:t>
            </w:r>
          </w:p>
          <w:p w14:paraId="62DE285F" w14:textId="77777777" w:rsidR="00183162" w:rsidRPr="0039344A" w:rsidRDefault="00183162" w:rsidP="00080937">
            <w:pPr>
              <w:spacing w:after="240" w:line="276" w:lineRule="auto"/>
              <w:rPr>
                <w:i/>
                <w:iCs/>
                <w:sz w:val="22"/>
                <w:szCs w:val="22"/>
              </w:rPr>
            </w:pPr>
            <w:r w:rsidRPr="0039344A">
              <w:rPr>
                <w:i/>
                <w:iCs/>
                <w:sz w:val="22"/>
                <w:szCs w:val="22"/>
              </w:rPr>
              <w:t xml:space="preserve">This session will work towards developing common multisectoral messaging, framing vulnerability consistently across the organization, and ensuring coherence in communication.  </w:t>
            </w:r>
          </w:p>
          <w:p w14:paraId="7FBF9CD9" w14:textId="77777777" w:rsidR="00183162" w:rsidRPr="0039344A" w:rsidRDefault="00183162" w:rsidP="00080937">
            <w:pPr>
              <w:spacing w:after="240" w:line="276" w:lineRule="auto"/>
              <w:rPr>
                <w:b/>
                <w:bCs/>
                <w:sz w:val="22"/>
                <w:szCs w:val="22"/>
              </w:rPr>
            </w:pPr>
            <w:r w:rsidRPr="0039344A">
              <w:rPr>
                <w:b/>
                <w:bCs/>
                <w:sz w:val="22"/>
                <w:szCs w:val="22"/>
              </w:rPr>
              <w:t>Presentations (10 mins)</w:t>
            </w:r>
          </w:p>
          <w:p w14:paraId="74F136F3" w14:textId="16DC62B4" w:rsidR="00183162" w:rsidRPr="0039344A" w:rsidRDefault="00183162" w:rsidP="00080937">
            <w:pPr>
              <w:pStyle w:val="ListParagraph"/>
              <w:numPr>
                <w:ilvl w:val="0"/>
                <w:numId w:val="18"/>
              </w:numPr>
              <w:spacing w:after="240" w:line="276" w:lineRule="auto"/>
              <w:rPr>
                <w:b/>
                <w:bCs/>
                <w:sz w:val="22"/>
                <w:szCs w:val="22"/>
              </w:rPr>
            </w:pPr>
            <w:r w:rsidRPr="0039344A">
              <w:rPr>
                <w:b/>
                <w:bCs/>
                <w:sz w:val="22"/>
                <w:szCs w:val="22"/>
              </w:rPr>
              <w:t>Felicity Porritt, Consultant, Social Determinants of Health</w:t>
            </w:r>
            <w:r w:rsidR="003E3B22">
              <w:rPr>
                <w:b/>
                <w:bCs/>
                <w:sz w:val="22"/>
                <w:szCs w:val="22"/>
              </w:rPr>
              <w:t xml:space="preserve"> </w:t>
            </w:r>
            <w:r w:rsidR="003E3B22">
              <w:rPr>
                <w:b/>
                <w:bCs/>
                <w:sz w:val="22"/>
                <w:szCs w:val="22"/>
              </w:rPr>
              <w:t>(confirmed)</w:t>
            </w:r>
            <w:r w:rsidRPr="0039344A">
              <w:rPr>
                <w:b/>
                <w:bCs/>
                <w:sz w:val="22"/>
                <w:szCs w:val="22"/>
              </w:rPr>
              <w:t xml:space="preserve"> </w:t>
            </w:r>
            <w:r>
              <w:rPr>
                <w:b/>
                <w:bCs/>
                <w:sz w:val="22"/>
                <w:szCs w:val="22"/>
              </w:rPr>
              <w:t xml:space="preserve"> </w:t>
            </w:r>
          </w:p>
          <w:p w14:paraId="64D60DDF" w14:textId="4410058C" w:rsidR="00183162" w:rsidRPr="0039344A" w:rsidRDefault="00183162" w:rsidP="00080937">
            <w:pPr>
              <w:pStyle w:val="ListParagraph"/>
              <w:numPr>
                <w:ilvl w:val="0"/>
                <w:numId w:val="8"/>
              </w:numPr>
              <w:spacing w:after="240" w:line="276" w:lineRule="auto"/>
              <w:rPr>
                <w:b/>
                <w:bCs/>
                <w:sz w:val="22"/>
                <w:szCs w:val="22"/>
              </w:rPr>
            </w:pPr>
            <w:r w:rsidRPr="0039344A">
              <w:rPr>
                <w:b/>
                <w:bCs/>
                <w:sz w:val="22"/>
                <w:szCs w:val="22"/>
              </w:rPr>
              <w:t>Theadora Koller, Technical Officer, HQ/GER Gender, Equity and Human Rights DGO</w:t>
            </w:r>
            <w:r w:rsidR="00707543">
              <w:rPr>
                <w:b/>
                <w:bCs/>
                <w:sz w:val="22"/>
                <w:szCs w:val="22"/>
              </w:rPr>
              <w:t xml:space="preserve"> (confirmed)</w:t>
            </w:r>
            <w:r w:rsidRPr="0039344A">
              <w:rPr>
                <w:b/>
                <w:bCs/>
                <w:sz w:val="22"/>
                <w:szCs w:val="22"/>
              </w:rPr>
              <w:t xml:space="preserve"> </w:t>
            </w:r>
            <w:r>
              <w:rPr>
                <w:b/>
                <w:bCs/>
                <w:sz w:val="22"/>
                <w:szCs w:val="22"/>
              </w:rPr>
              <w:t xml:space="preserve"> </w:t>
            </w:r>
          </w:p>
          <w:p w14:paraId="44B9AC72" w14:textId="77777777" w:rsidR="00183162" w:rsidRPr="0039344A" w:rsidRDefault="00183162" w:rsidP="00080937">
            <w:pPr>
              <w:spacing w:after="240" w:line="276" w:lineRule="auto"/>
              <w:rPr>
                <w:b/>
                <w:bCs/>
                <w:sz w:val="22"/>
                <w:szCs w:val="22"/>
                <w:lang w:val="fr-CH"/>
              </w:rPr>
            </w:pPr>
            <w:r w:rsidRPr="0039344A">
              <w:rPr>
                <w:sz w:val="22"/>
                <w:szCs w:val="22"/>
              </w:rPr>
              <w:t xml:space="preserve">Rapporteur: </w:t>
            </w:r>
            <w:r w:rsidRPr="0039344A">
              <w:rPr>
                <w:b/>
                <w:bCs/>
                <w:sz w:val="22"/>
                <w:szCs w:val="22"/>
              </w:rPr>
              <w:t>HQ/EQH</w:t>
            </w:r>
          </w:p>
        </w:tc>
        <w:tc>
          <w:tcPr>
            <w:tcW w:w="815" w:type="pct"/>
          </w:tcPr>
          <w:p w14:paraId="2219767F" w14:textId="7C55FA1E" w:rsidR="00183162" w:rsidRPr="0039344A" w:rsidRDefault="004513D6" w:rsidP="00080937">
            <w:pPr>
              <w:spacing w:line="276" w:lineRule="auto"/>
              <w:rPr>
                <w:b/>
                <w:bCs/>
                <w:sz w:val="22"/>
                <w:szCs w:val="22"/>
              </w:rPr>
            </w:pPr>
            <w:r>
              <w:rPr>
                <w:b/>
                <w:bCs/>
                <w:sz w:val="22"/>
                <w:szCs w:val="22"/>
              </w:rPr>
              <w:t>P. Phori</w:t>
            </w:r>
          </w:p>
        </w:tc>
      </w:tr>
      <w:tr w:rsidR="006A1054" w:rsidRPr="0039344A" w14:paraId="24A67DCE" w14:textId="77777777" w:rsidTr="00080937">
        <w:tc>
          <w:tcPr>
            <w:tcW w:w="722" w:type="pct"/>
            <w:shd w:val="clear" w:color="auto" w:fill="EEECE1" w:themeFill="background2"/>
          </w:tcPr>
          <w:p w14:paraId="53A95080" w14:textId="77777777" w:rsidR="006A1054" w:rsidRPr="0039344A" w:rsidRDefault="006A1054" w:rsidP="00A9698C">
            <w:pPr>
              <w:pStyle w:val="Style11ptLinespacing15lines"/>
            </w:pPr>
            <w:r w:rsidRPr="0039344A">
              <w:t>12.30-13.30</w:t>
            </w:r>
          </w:p>
        </w:tc>
        <w:tc>
          <w:tcPr>
            <w:tcW w:w="3463" w:type="pct"/>
            <w:shd w:val="clear" w:color="auto" w:fill="EEECE1" w:themeFill="background2"/>
          </w:tcPr>
          <w:p w14:paraId="218211BF" w14:textId="77777777" w:rsidR="006A1054" w:rsidRPr="0039344A" w:rsidRDefault="006A1054" w:rsidP="00080937">
            <w:pPr>
              <w:spacing w:after="240" w:line="276" w:lineRule="auto"/>
              <w:rPr>
                <w:i/>
                <w:iCs/>
                <w:sz w:val="22"/>
                <w:szCs w:val="22"/>
              </w:rPr>
            </w:pPr>
            <w:r w:rsidRPr="0039344A">
              <w:rPr>
                <w:i/>
                <w:iCs/>
                <w:sz w:val="22"/>
                <w:szCs w:val="22"/>
              </w:rPr>
              <w:t>Lunch</w:t>
            </w:r>
          </w:p>
        </w:tc>
        <w:tc>
          <w:tcPr>
            <w:tcW w:w="815" w:type="pct"/>
            <w:shd w:val="clear" w:color="auto" w:fill="EEECE1" w:themeFill="background2"/>
          </w:tcPr>
          <w:p w14:paraId="15EF9EA9" w14:textId="77777777" w:rsidR="006A1054" w:rsidRPr="0039344A" w:rsidRDefault="006A1054" w:rsidP="00080937">
            <w:pPr>
              <w:spacing w:after="240" w:line="276" w:lineRule="auto"/>
              <w:rPr>
                <w:i/>
                <w:iCs/>
                <w:sz w:val="22"/>
                <w:szCs w:val="22"/>
              </w:rPr>
            </w:pPr>
          </w:p>
        </w:tc>
      </w:tr>
      <w:tr w:rsidR="00183162" w:rsidRPr="0039344A" w14:paraId="29C2C8D7" w14:textId="77777777" w:rsidTr="00080937">
        <w:tc>
          <w:tcPr>
            <w:tcW w:w="722" w:type="pct"/>
            <w:shd w:val="clear" w:color="auto" w:fill="auto"/>
          </w:tcPr>
          <w:p w14:paraId="4B2C43CE" w14:textId="4D019B05" w:rsidR="00183162" w:rsidRPr="0039344A" w:rsidRDefault="006A1054" w:rsidP="00A9698C">
            <w:pPr>
              <w:pStyle w:val="Style11ptLinespacing15lines"/>
            </w:pPr>
            <w:r>
              <w:t>13.30</w:t>
            </w:r>
            <w:r w:rsidR="007D2BA7">
              <w:t>-</w:t>
            </w:r>
            <w:r>
              <w:t>14.30</w:t>
            </w:r>
          </w:p>
        </w:tc>
        <w:tc>
          <w:tcPr>
            <w:tcW w:w="3463" w:type="pct"/>
            <w:shd w:val="clear" w:color="auto" w:fill="auto"/>
          </w:tcPr>
          <w:p w14:paraId="7C3216B7" w14:textId="3BC4C9B8" w:rsidR="00183162" w:rsidRPr="0039344A" w:rsidRDefault="00183162" w:rsidP="00080937">
            <w:pPr>
              <w:spacing w:after="240" w:line="276" w:lineRule="auto"/>
              <w:rPr>
                <w:b/>
                <w:bCs/>
                <w:sz w:val="22"/>
                <w:szCs w:val="22"/>
                <w:lang w:val="fr-CH"/>
              </w:rPr>
            </w:pPr>
            <w:r w:rsidRPr="0039344A">
              <w:rPr>
                <w:b/>
                <w:bCs/>
                <w:sz w:val="22"/>
                <w:szCs w:val="22"/>
                <w:lang w:val="fr-CH"/>
              </w:rPr>
              <w:t xml:space="preserve">Session </w:t>
            </w:r>
            <w:r w:rsidR="00B24CBE">
              <w:rPr>
                <w:b/>
                <w:bCs/>
                <w:sz w:val="22"/>
                <w:szCs w:val="22"/>
                <w:lang w:val="fr-CH"/>
              </w:rPr>
              <w:t>10</w:t>
            </w:r>
            <w:r w:rsidRPr="0039344A">
              <w:rPr>
                <w:b/>
                <w:bCs/>
                <w:sz w:val="22"/>
                <w:szCs w:val="22"/>
                <w:lang w:val="fr-CH"/>
              </w:rPr>
              <w:t xml:space="preserve">b : </w:t>
            </w:r>
            <w:r w:rsidRPr="0039344A">
              <w:rPr>
                <w:b/>
                <w:bCs/>
                <w:sz w:val="22"/>
                <w:szCs w:val="22"/>
              </w:rPr>
              <w:t xml:space="preserve">Framing and messaging: </w:t>
            </w:r>
            <w:r w:rsidRPr="0039344A">
              <w:rPr>
                <w:b/>
                <w:bCs/>
                <w:sz w:val="22"/>
                <w:szCs w:val="22"/>
                <w:lang w:val="fr-CH"/>
              </w:rPr>
              <w:t xml:space="preserve">Multisectoral collaboration frameworks </w:t>
            </w:r>
          </w:p>
          <w:p w14:paraId="289E655D" w14:textId="336461F3" w:rsidR="00183162" w:rsidRPr="0039344A" w:rsidRDefault="00183162" w:rsidP="00080937">
            <w:pPr>
              <w:spacing w:after="240" w:line="276" w:lineRule="auto"/>
              <w:rPr>
                <w:b/>
                <w:bCs/>
                <w:sz w:val="22"/>
                <w:szCs w:val="22"/>
                <w:lang w:val="fr-CH"/>
              </w:rPr>
            </w:pPr>
            <w:r w:rsidRPr="0039344A">
              <w:rPr>
                <w:b/>
                <w:bCs/>
                <w:sz w:val="22"/>
                <w:szCs w:val="22"/>
                <w:lang w:val="fr-CH"/>
              </w:rPr>
              <w:t>Presentation (</w:t>
            </w:r>
            <w:r w:rsidR="00284F27">
              <w:rPr>
                <w:b/>
                <w:bCs/>
                <w:sz w:val="22"/>
                <w:szCs w:val="22"/>
                <w:lang w:val="fr-CH"/>
              </w:rPr>
              <w:t>10</w:t>
            </w:r>
            <w:r w:rsidR="003443DE">
              <w:rPr>
                <w:b/>
                <w:bCs/>
                <w:sz w:val="22"/>
                <w:szCs w:val="22"/>
                <w:lang w:val="fr-CH"/>
              </w:rPr>
              <w:t xml:space="preserve"> </w:t>
            </w:r>
            <w:r w:rsidRPr="0039344A">
              <w:rPr>
                <w:b/>
                <w:bCs/>
                <w:sz w:val="22"/>
                <w:szCs w:val="22"/>
                <w:lang w:val="fr-CH"/>
              </w:rPr>
              <w:t>mins)</w:t>
            </w:r>
          </w:p>
          <w:p w14:paraId="5FA3766D" w14:textId="77777777" w:rsidR="00183162" w:rsidRDefault="00183162" w:rsidP="00080937">
            <w:pPr>
              <w:pStyle w:val="ListParagraph"/>
              <w:numPr>
                <w:ilvl w:val="0"/>
                <w:numId w:val="8"/>
              </w:numPr>
              <w:spacing w:after="240" w:line="276" w:lineRule="auto"/>
              <w:rPr>
                <w:b/>
                <w:bCs/>
                <w:sz w:val="22"/>
                <w:szCs w:val="22"/>
              </w:rPr>
            </w:pPr>
            <w:r w:rsidRPr="0039344A">
              <w:rPr>
                <w:b/>
                <w:bCs/>
                <w:sz w:val="22"/>
                <w:szCs w:val="22"/>
                <w:lang w:val="en-US"/>
              </w:rPr>
              <w:t>Multisectoral collaboration frameworks and capacities:</w:t>
            </w:r>
            <w:r w:rsidRPr="0039344A">
              <w:rPr>
                <w:b/>
                <w:bCs/>
                <w:sz w:val="22"/>
                <w:szCs w:val="22"/>
              </w:rPr>
              <w:t xml:space="preserve"> Nicole Valentine (HQ)/Peter Phori (AFRO), </w:t>
            </w:r>
          </w:p>
          <w:p w14:paraId="21736273" w14:textId="1319C506" w:rsidR="00284F27" w:rsidRPr="00284F27" w:rsidRDefault="00284F27" w:rsidP="00284F27">
            <w:pPr>
              <w:spacing w:after="240" w:line="276" w:lineRule="auto"/>
              <w:rPr>
                <w:b/>
                <w:bCs/>
                <w:sz w:val="22"/>
                <w:szCs w:val="22"/>
              </w:rPr>
            </w:pPr>
            <w:r>
              <w:rPr>
                <w:b/>
                <w:bCs/>
                <w:sz w:val="22"/>
                <w:szCs w:val="22"/>
              </w:rPr>
              <w:t>Reflections</w:t>
            </w:r>
          </w:p>
          <w:p w14:paraId="1D03250B" w14:textId="1FC355A1" w:rsidR="00183162" w:rsidRDefault="00183162" w:rsidP="00080937">
            <w:pPr>
              <w:pStyle w:val="ListParagraph"/>
              <w:numPr>
                <w:ilvl w:val="0"/>
                <w:numId w:val="8"/>
              </w:numPr>
              <w:spacing w:after="240" w:line="276" w:lineRule="auto"/>
              <w:rPr>
                <w:b/>
                <w:bCs/>
                <w:sz w:val="22"/>
                <w:szCs w:val="22"/>
              </w:rPr>
            </w:pPr>
            <w:r w:rsidRPr="0039344A">
              <w:rPr>
                <w:b/>
                <w:bCs/>
                <w:sz w:val="22"/>
                <w:szCs w:val="22"/>
              </w:rPr>
              <w:t>Guy Fones</w:t>
            </w:r>
            <w:r w:rsidR="00284F27">
              <w:rPr>
                <w:b/>
                <w:bCs/>
                <w:sz w:val="22"/>
                <w:szCs w:val="22"/>
              </w:rPr>
              <w:t>, Head,</w:t>
            </w:r>
            <w:r w:rsidRPr="0039344A">
              <w:rPr>
                <w:b/>
                <w:bCs/>
                <w:sz w:val="22"/>
                <w:szCs w:val="22"/>
              </w:rPr>
              <w:t xml:space="preserve"> Global Coordination Mechanism on NCDs </w:t>
            </w:r>
            <w:r w:rsidR="003E3B22">
              <w:rPr>
                <w:b/>
                <w:bCs/>
                <w:sz w:val="22"/>
                <w:szCs w:val="22"/>
              </w:rPr>
              <w:t>(confirmed)</w:t>
            </w:r>
          </w:p>
          <w:p w14:paraId="3AF3CCA6" w14:textId="034A93A5" w:rsidR="00284F27" w:rsidRPr="0039344A" w:rsidRDefault="00284F27" w:rsidP="00080937">
            <w:pPr>
              <w:pStyle w:val="ListParagraph"/>
              <w:numPr>
                <w:ilvl w:val="0"/>
                <w:numId w:val="8"/>
              </w:numPr>
              <w:spacing w:after="240" w:line="276" w:lineRule="auto"/>
              <w:rPr>
                <w:b/>
                <w:bCs/>
                <w:sz w:val="22"/>
                <w:szCs w:val="22"/>
              </w:rPr>
            </w:pPr>
            <w:r>
              <w:rPr>
                <w:b/>
                <w:bCs/>
                <w:sz w:val="22"/>
                <w:szCs w:val="22"/>
              </w:rPr>
              <w:t>Katia De Pinho Campos,</w:t>
            </w:r>
            <w:r w:rsidRPr="0039344A">
              <w:rPr>
                <w:b/>
                <w:bCs/>
                <w:sz w:val="22"/>
                <w:szCs w:val="22"/>
              </w:rPr>
              <w:t xml:space="preserve"> </w:t>
            </w:r>
            <w:r>
              <w:rPr>
                <w:b/>
                <w:bCs/>
                <w:sz w:val="22"/>
                <w:szCs w:val="22"/>
              </w:rPr>
              <w:t xml:space="preserve">Technical Officer, </w:t>
            </w:r>
            <w:r w:rsidRPr="0039344A">
              <w:rPr>
                <w:b/>
                <w:bCs/>
                <w:sz w:val="22"/>
                <w:szCs w:val="22"/>
              </w:rPr>
              <w:t>Global Coordination Mechanism on NCDs</w:t>
            </w:r>
            <w:r w:rsidR="003E3B22">
              <w:rPr>
                <w:b/>
                <w:bCs/>
                <w:sz w:val="22"/>
                <w:szCs w:val="22"/>
              </w:rPr>
              <w:t xml:space="preserve"> </w:t>
            </w:r>
            <w:r w:rsidR="003E3B22">
              <w:rPr>
                <w:b/>
                <w:bCs/>
                <w:sz w:val="22"/>
                <w:szCs w:val="22"/>
              </w:rPr>
              <w:t>(confirmed)</w:t>
            </w:r>
          </w:p>
          <w:p w14:paraId="1CB0CAA0" w14:textId="77777777" w:rsidR="00183162" w:rsidRPr="0039344A" w:rsidRDefault="00183162" w:rsidP="00080937">
            <w:pPr>
              <w:pStyle w:val="ListParagraph"/>
              <w:numPr>
                <w:ilvl w:val="0"/>
                <w:numId w:val="8"/>
              </w:numPr>
              <w:spacing w:after="240" w:line="276" w:lineRule="auto"/>
              <w:rPr>
                <w:b/>
                <w:bCs/>
                <w:sz w:val="22"/>
                <w:szCs w:val="22"/>
              </w:rPr>
            </w:pPr>
            <w:r w:rsidRPr="0039344A">
              <w:rPr>
                <w:b/>
                <w:bCs/>
                <w:sz w:val="22"/>
                <w:szCs w:val="22"/>
              </w:rPr>
              <w:t xml:space="preserve">Multisectoral approaches to environment and health: Annette Pruss, Head, HQ/HEP/ECH Policies &amp; Interventions for Health &amp; Environment </w:t>
            </w:r>
            <w:r>
              <w:rPr>
                <w:b/>
                <w:bCs/>
                <w:sz w:val="22"/>
                <w:szCs w:val="22"/>
              </w:rPr>
              <w:t xml:space="preserve"> </w:t>
            </w:r>
          </w:p>
          <w:p w14:paraId="2BF2AEA9" w14:textId="77777777" w:rsidR="00183162" w:rsidRPr="0039344A" w:rsidRDefault="00183162" w:rsidP="00080937">
            <w:pPr>
              <w:spacing w:line="276" w:lineRule="auto"/>
              <w:rPr>
                <w:b/>
                <w:bCs/>
                <w:sz w:val="22"/>
                <w:szCs w:val="22"/>
                <w:lang w:val="fr-CH"/>
              </w:rPr>
            </w:pPr>
            <w:r w:rsidRPr="0039344A">
              <w:rPr>
                <w:sz w:val="22"/>
                <w:szCs w:val="22"/>
                <w:lang w:val="fr-CH"/>
              </w:rPr>
              <w:t xml:space="preserve">Rapporteur: </w:t>
            </w:r>
            <w:r w:rsidRPr="0039344A">
              <w:rPr>
                <w:b/>
                <w:bCs/>
                <w:sz w:val="22"/>
                <w:szCs w:val="22"/>
                <w:lang w:val="fr-CH"/>
              </w:rPr>
              <w:t>HQ</w:t>
            </w:r>
            <w:r>
              <w:rPr>
                <w:b/>
                <w:bCs/>
                <w:sz w:val="22"/>
                <w:szCs w:val="22"/>
                <w:lang w:val="fr-CH"/>
              </w:rPr>
              <w:t>/EQH</w:t>
            </w:r>
          </w:p>
          <w:p w14:paraId="1823585F" w14:textId="77777777" w:rsidR="00183162" w:rsidRPr="0039344A" w:rsidRDefault="00183162" w:rsidP="00080937">
            <w:pPr>
              <w:spacing w:line="276" w:lineRule="auto"/>
              <w:rPr>
                <w:b/>
                <w:bCs/>
                <w:sz w:val="22"/>
                <w:szCs w:val="22"/>
              </w:rPr>
            </w:pPr>
          </w:p>
        </w:tc>
        <w:tc>
          <w:tcPr>
            <w:tcW w:w="815" w:type="pct"/>
          </w:tcPr>
          <w:p w14:paraId="1F01F939" w14:textId="4F26926F" w:rsidR="00183162" w:rsidRPr="0039344A" w:rsidRDefault="00582050" w:rsidP="00080937">
            <w:pPr>
              <w:spacing w:after="240" w:line="276" w:lineRule="auto"/>
              <w:rPr>
                <w:b/>
                <w:bCs/>
                <w:sz w:val="22"/>
                <w:szCs w:val="22"/>
                <w:lang w:val="fr-CH"/>
              </w:rPr>
            </w:pPr>
            <w:r>
              <w:rPr>
                <w:b/>
                <w:bCs/>
                <w:sz w:val="22"/>
                <w:szCs w:val="22"/>
              </w:rPr>
              <w:t>K. Fortune</w:t>
            </w:r>
          </w:p>
        </w:tc>
      </w:tr>
      <w:tr w:rsidR="00AD2329" w:rsidRPr="0039344A" w14:paraId="0BD17BA5" w14:textId="5204B196" w:rsidTr="007574C9">
        <w:tc>
          <w:tcPr>
            <w:tcW w:w="722" w:type="pct"/>
            <w:shd w:val="clear" w:color="auto" w:fill="auto"/>
          </w:tcPr>
          <w:p w14:paraId="1E498034" w14:textId="6E45331C" w:rsidR="00AD2329" w:rsidRPr="0039344A" w:rsidRDefault="00AD2329" w:rsidP="00A9698C">
            <w:pPr>
              <w:pStyle w:val="Style11ptLinespacing15lines"/>
            </w:pPr>
            <w:r w:rsidRPr="0039344A">
              <w:t>1</w:t>
            </w:r>
            <w:r w:rsidR="0047794D">
              <w:t>4</w:t>
            </w:r>
            <w:r w:rsidRPr="0039344A">
              <w:t>:30-15.</w:t>
            </w:r>
            <w:r w:rsidR="00B24CBE">
              <w:t>30</w:t>
            </w:r>
          </w:p>
        </w:tc>
        <w:tc>
          <w:tcPr>
            <w:tcW w:w="3463" w:type="pct"/>
            <w:shd w:val="clear" w:color="auto" w:fill="auto"/>
          </w:tcPr>
          <w:p w14:paraId="7E812841" w14:textId="6800A012" w:rsidR="00AD2329" w:rsidRPr="0039344A" w:rsidRDefault="00AD2329" w:rsidP="00331659">
            <w:pPr>
              <w:spacing w:after="240" w:line="276" w:lineRule="auto"/>
              <w:rPr>
                <w:b/>
                <w:bCs/>
                <w:sz w:val="22"/>
                <w:szCs w:val="22"/>
              </w:rPr>
            </w:pPr>
            <w:r w:rsidRPr="0039344A">
              <w:rPr>
                <w:b/>
                <w:bCs/>
                <w:sz w:val="22"/>
                <w:szCs w:val="22"/>
              </w:rPr>
              <w:t>Session 11: Developing a common global work programme: developing a common vision and priority actions</w:t>
            </w:r>
          </w:p>
          <w:p w14:paraId="3BF2321C" w14:textId="6411591B" w:rsidR="00AD2329" w:rsidRPr="0039344A" w:rsidRDefault="00AD2329" w:rsidP="00331659">
            <w:pPr>
              <w:spacing w:after="240" w:line="276" w:lineRule="auto"/>
              <w:rPr>
                <w:bCs/>
                <w:i/>
                <w:iCs/>
                <w:sz w:val="22"/>
                <w:szCs w:val="22"/>
              </w:rPr>
            </w:pPr>
            <w:r w:rsidRPr="0039344A">
              <w:rPr>
                <w:bCs/>
                <w:i/>
                <w:iCs/>
                <w:sz w:val="22"/>
                <w:szCs w:val="22"/>
              </w:rPr>
              <w:lastRenderedPageBreak/>
              <w:t xml:space="preserve">This session will work towards developing a common vision across the three workstreams EQH/URB/CED with a focus on disease prevention where the ‘ownership’ of policies and action lies outside of the health sector, and in particular across the follow cross-cutting dimensions: </w:t>
            </w:r>
          </w:p>
          <w:p w14:paraId="5579369C" w14:textId="77777777" w:rsidR="00AD2329" w:rsidRPr="0039344A" w:rsidRDefault="00AD2329" w:rsidP="00331659">
            <w:pPr>
              <w:spacing w:after="240" w:line="276" w:lineRule="auto"/>
              <w:rPr>
                <w:bCs/>
                <w:i/>
                <w:iCs/>
                <w:sz w:val="22"/>
                <w:szCs w:val="22"/>
                <w:u w:val="single"/>
              </w:rPr>
            </w:pPr>
            <w:r w:rsidRPr="0039344A">
              <w:rPr>
                <w:bCs/>
                <w:i/>
                <w:iCs/>
                <w:sz w:val="22"/>
                <w:szCs w:val="22"/>
                <w:u w:val="single"/>
              </w:rPr>
              <w:t>Problem</w:t>
            </w:r>
          </w:p>
          <w:p w14:paraId="2630E1BB" w14:textId="77777777" w:rsidR="00AD2329" w:rsidRPr="0039344A" w:rsidRDefault="00AD2329" w:rsidP="00331659">
            <w:pPr>
              <w:pStyle w:val="ListParagraph"/>
              <w:numPr>
                <w:ilvl w:val="0"/>
                <w:numId w:val="14"/>
              </w:numPr>
              <w:spacing w:line="276" w:lineRule="auto"/>
              <w:rPr>
                <w:bCs/>
                <w:i/>
                <w:iCs/>
                <w:sz w:val="22"/>
                <w:szCs w:val="22"/>
              </w:rPr>
            </w:pPr>
            <w:r w:rsidRPr="0039344A">
              <w:rPr>
                <w:bCs/>
                <w:i/>
                <w:iCs/>
                <w:sz w:val="22"/>
                <w:szCs w:val="22"/>
              </w:rPr>
              <w:t xml:space="preserve">triple environmental crisis of climate change, pollution and land degradation/biodiversity loss; </w:t>
            </w:r>
          </w:p>
          <w:p w14:paraId="3C507B5B" w14:textId="77777777" w:rsidR="00AD2329" w:rsidRPr="0039344A" w:rsidRDefault="00AD2329" w:rsidP="00331659">
            <w:pPr>
              <w:pStyle w:val="ListParagraph"/>
              <w:numPr>
                <w:ilvl w:val="0"/>
                <w:numId w:val="14"/>
              </w:numPr>
              <w:spacing w:line="276" w:lineRule="auto"/>
              <w:rPr>
                <w:bCs/>
                <w:i/>
                <w:iCs/>
                <w:sz w:val="22"/>
                <w:szCs w:val="22"/>
              </w:rPr>
            </w:pPr>
            <w:r w:rsidRPr="0039344A">
              <w:rPr>
                <w:bCs/>
                <w:i/>
                <w:iCs/>
                <w:sz w:val="22"/>
                <w:szCs w:val="22"/>
              </w:rPr>
              <w:t xml:space="preserve">threat of global economic crisis, cost of living and weakening public sector investments and services, including for social protection; </w:t>
            </w:r>
          </w:p>
          <w:p w14:paraId="76992347" w14:textId="77777777" w:rsidR="00AD2329" w:rsidRPr="0039344A" w:rsidRDefault="00AD2329" w:rsidP="00331659">
            <w:pPr>
              <w:pStyle w:val="ListParagraph"/>
              <w:numPr>
                <w:ilvl w:val="0"/>
                <w:numId w:val="14"/>
              </w:numPr>
              <w:spacing w:line="276" w:lineRule="auto"/>
              <w:rPr>
                <w:bCs/>
                <w:i/>
                <w:iCs/>
                <w:sz w:val="22"/>
                <w:szCs w:val="22"/>
              </w:rPr>
            </w:pPr>
            <w:r w:rsidRPr="0039344A">
              <w:rPr>
                <w:bCs/>
                <w:i/>
                <w:iCs/>
                <w:sz w:val="22"/>
                <w:szCs w:val="22"/>
              </w:rPr>
              <w:t>conflicts of interest and commercial dominance of agendas;</w:t>
            </w:r>
          </w:p>
          <w:p w14:paraId="6BEB5719" w14:textId="77777777" w:rsidR="00AD2329" w:rsidRPr="0039344A" w:rsidRDefault="00AD2329" w:rsidP="00331659">
            <w:pPr>
              <w:pStyle w:val="ListParagraph"/>
              <w:numPr>
                <w:ilvl w:val="0"/>
                <w:numId w:val="14"/>
              </w:numPr>
              <w:spacing w:line="276" w:lineRule="auto"/>
              <w:rPr>
                <w:bCs/>
                <w:i/>
                <w:iCs/>
                <w:sz w:val="22"/>
                <w:szCs w:val="22"/>
              </w:rPr>
            </w:pPr>
            <w:r w:rsidRPr="0039344A">
              <w:rPr>
                <w:bCs/>
                <w:i/>
                <w:iCs/>
                <w:sz w:val="22"/>
                <w:szCs w:val="22"/>
              </w:rPr>
              <w:t>urbanization as one of the leading global trends of the 21st century that has a significant impact on health and health equity.</w:t>
            </w:r>
          </w:p>
          <w:p w14:paraId="3E79411C" w14:textId="77777777" w:rsidR="00AD2329" w:rsidRPr="0039344A" w:rsidRDefault="00AD2329" w:rsidP="00331659">
            <w:pPr>
              <w:pStyle w:val="ListParagraph"/>
              <w:spacing w:line="276" w:lineRule="auto"/>
              <w:rPr>
                <w:bCs/>
                <w:i/>
                <w:iCs/>
                <w:sz w:val="22"/>
                <w:szCs w:val="22"/>
              </w:rPr>
            </w:pPr>
          </w:p>
          <w:p w14:paraId="4CC39FB8" w14:textId="77777777" w:rsidR="00AD2329" w:rsidRPr="0039344A" w:rsidRDefault="00AD2329" w:rsidP="00331659">
            <w:pPr>
              <w:spacing w:line="276" w:lineRule="auto"/>
              <w:rPr>
                <w:bCs/>
                <w:i/>
                <w:iCs/>
                <w:sz w:val="22"/>
                <w:szCs w:val="22"/>
                <w:u w:val="single"/>
              </w:rPr>
            </w:pPr>
            <w:r w:rsidRPr="0039344A">
              <w:rPr>
                <w:bCs/>
                <w:i/>
                <w:iCs/>
                <w:sz w:val="22"/>
                <w:szCs w:val="22"/>
                <w:u w:val="single"/>
              </w:rPr>
              <w:t>Solution</w:t>
            </w:r>
          </w:p>
          <w:p w14:paraId="07D339CD" w14:textId="77777777" w:rsidR="00AD2329" w:rsidRPr="0039344A" w:rsidRDefault="00AD2329" w:rsidP="00331659">
            <w:pPr>
              <w:pStyle w:val="ListParagraph"/>
              <w:numPr>
                <w:ilvl w:val="0"/>
                <w:numId w:val="14"/>
              </w:numPr>
              <w:rPr>
                <w:bCs/>
                <w:i/>
                <w:iCs/>
                <w:sz w:val="22"/>
                <w:szCs w:val="22"/>
              </w:rPr>
            </w:pPr>
            <w:r w:rsidRPr="0039344A">
              <w:rPr>
                <w:bCs/>
                <w:i/>
                <w:iCs/>
                <w:sz w:val="22"/>
                <w:szCs w:val="22"/>
              </w:rPr>
              <w:t>integrating environmental/social/commercial determinants of health with the institutional whole-of-government, and well-being-society/economy approaches, and organizational urban health approaches</w:t>
            </w:r>
          </w:p>
          <w:p w14:paraId="4D5D2CC9" w14:textId="77777777" w:rsidR="00AD2329" w:rsidRPr="0039344A" w:rsidRDefault="00AD2329" w:rsidP="00331659">
            <w:pPr>
              <w:pStyle w:val="ListParagraph"/>
              <w:numPr>
                <w:ilvl w:val="0"/>
                <w:numId w:val="14"/>
              </w:numPr>
              <w:spacing w:line="276" w:lineRule="auto"/>
              <w:rPr>
                <w:sz w:val="22"/>
                <w:szCs w:val="22"/>
              </w:rPr>
            </w:pPr>
            <w:r w:rsidRPr="0039344A">
              <w:rPr>
                <w:bCs/>
                <w:i/>
                <w:iCs/>
                <w:sz w:val="22"/>
                <w:szCs w:val="22"/>
              </w:rPr>
              <w:t>supporting intersectoral/multisectoral governance and accountability; leadership at all levels; work practices; and capabilities and financing</w:t>
            </w:r>
          </w:p>
          <w:p w14:paraId="0A8C0785" w14:textId="77777777" w:rsidR="00AD2329" w:rsidRPr="006A1054" w:rsidRDefault="00AD2329" w:rsidP="001E667B">
            <w:pPr>
              <w:spacing w:line="276" w:lineRule="auto"/>
              <w:rPr>
                <w:sz w:val="22"/>
                <w:szCs w:val="22"/>
              </w:rPr>
            </w:pPr>
          </w:p>
          <w:p w14:paraId="53AD6A3C" w14:textId="7ED8F2E7" w:rsidR="00AD2329" w:rsidRPr="006A1054" w:rsidRDefault="00AD2329" w:rsidP="001456EC">
            <w:pPr>
              <w:pStyle w:val="ListParagraph"/>
              <w:numPr>
                <w:ilvl w:val="0"/>
                <w:numId w:val="13"/>
              </w:numPr>
              <w:spacing w:line="250" w:lineRule="auto"/>
              <w:ind w:right="194"/>
              <w:rPr>
                <w:b/>
                <w:bCs/>
                <w:spacing w:val="-1"/>
                <w:sz w:val="22"/>
                <w:szCs w:val="22"/>
              </w:rPr>
            </w:pPr>
            <w:r w:rsidRPr="006A1054">
              <w:rPr>
                <w:b/>
                <w:bCs/>
                <w:spacing w:val="-1"/>
                <w:sz w:val="22"/>
                <w:szCs w:val="22"/>
              </w:rPr>
              <w:t>Roundtable across all participants</w:t>
            </w:r>
          </w:p>
          <w:p w14:paraId="48ED923E" w14:textId="77777777" w:rsidR="00AD2329" w:rsidRPr="0039344A" w:rsidRDefault="00AD2329" w:rsidP="00331659">
            <w:pPr>
              <w:spacing w:line="276" w:lineRule="auto"/>
              <w:rPr>
                <w:sz w:val="22"/>
                <w:szCs w:val="22"/>
              </w:rPr>
            </w:pPr>
          </w:p>
          <w:p w14:paraId="04C81B71" w14:textId="301F3862" w:rsidR="00AD2329" w:rsidRPr="0039344A" w:rsidRDefault="00AD2329" w:rsidP="00331659">
            <w:pPr>
              <w:spacing w:after="240" w:line="276" w:lineRule="auto"/>
              <w:rPr>
                <w:b/>
                <w:bCs/>
                <w:sz w:val="22"/>
                <w:szCs w:val="22"/>
              </w:rPr>
            </w:pPr>
            <w:r w:rsidRPr="0039344A">
              <w:rPr>
                <w:sz w:val="22"/>
                <w:szCs w:val="22"/>
              </w:rPr>
              <w:t xml:space="preserve">Rapporteur: </w:t>
            </w:r>
            <w:r w:rsidRPr="0039344A">
              <w:rPr>
                <w:b/>
                <w:bCs/>
                <w:sz w:val="22"/>
                <w:szCs w:val="22"/>
              </w:rPr>
              <w:t>HQ/CED</w:t>
            </w:r>
          </w:p>
        </w:tc>
        <w:tc>
          <w:tcPr>
            <w:tcW w:w="815" w:type="pct"/>
          </w:tcPr>
          <w:p w14:paraId="191DA8C0" w14:textId="5616287C" w:rsidR="00AD2329" w:rsidRPr="0039344A" w:rsidRDefault="008A5E17" w:rsidP="00331659">
            <w:pPr>
              <w:spacing w:after="240" w:line="276" w:lineRule="auto"/>
              <w:rPr>
                <w:b/>
                <w:bCs/>
                <w:sz w:val="22"/>
                <w:szCs w:val="22"/>
              </w:rPr>
            </w:pPr>
            <w:r>
              <w:rPr>
                <w:b/>
                <w:bCs/>
                <w:sz w:val="22"/>
                <w:szCs w:val="22"/>
              </w:rPr>
              <w:lastRenderedPageBreak/>
              <w:t>M. El-Adawy</w:t>
            </w:r>
          </w:p>
        </w:tc>
      </w:tr>
      <w:tr w:rsidR="00AD2329" w:rsidRPr="0039344A" w14:paraId="649A95A1" w14:textId="355DCE56" w:rsidTr="007574C9">
        <w:tc>
          <w:tcPr>
            <w:tcW w:w="722" w:type="pct"/>
            <w:shd w:val="clear" w:color="auto" w:fill="EEECE1" w:themeFill="background2"/>
          </w:tcPr>
          <w:p w14:paraId="5A7DF041" w14:textId="68F8DE5D" w:rsidR="00AD2329" w:rsidRPr="0039344A" w:rsidRDefault="00AD2329" w:rsidP="00A9698C">
            <w:pPr>
              <w:pStyle w:val="Style11ptLinespacing15lines"/>
            </w:pPr>
            <w:r w:rsidRPr="0039344A">
              <w:t>15.</w:t>
            </w:r>
            <w:r w:rsidR="00B24CBE">
              <w:t>30</w:t>
            </w:r>
            <w:r w:rsidRPr="0039344A">
              <w:t>-1</w:t>
            </w:r>
            <w:r>
              <w:t>5</w:t>
            </w:r>
            <w:r w:rsidRPr="0039344A">
              <w:t>.</w:t>
            </w:r>
            <w:r w:rsidR="00B24CBE">
              <w:t>45</w:t>
            </w:r>
          </w:p>
        </w:tc>
        <w:tc>
          <w:tcPr>
            <w:tcW w:w="3463" w:type="pct"/>
            <w:shd w:val="clear" w:color="auto" w:fill="EEECE1" w:themeFill="background2"/>
          </w:tcPr>
          <w:p w14:paraId="2C76CCC6" w14:textId="77777777" w:rsidR="00AD2329" w:rsidRPr="0039344A" w:rsidRDefault="00AD2329" w:rsidP="002A7AC0">
            <w:pPr>
              <w:spacing w:line="276" w:lineRule="auto"/>
              <w:rPr>
                <w:i/>
                <w:iCs/>
                <w:sz w:val="22"/>
                <w:szCs w:val="22"/>
              </w:rPr>
            </w:pPr>
            <w:r w:rsidRPr="0039344A">
              <w:rPr>
                <w:i/>
                <w:iCs/>
                <w:sz w:val="22"/>
                <w:szCs w:val="22"/>
              </w:rPr>
              <w:t>Break</w:t>
            </w:r>
          </w:p>
        </w:tc>
        <w:tc>
          <w:tcPr>
            <w:tcW w:w="815" w:type="pct"/>
            <w:shd w:val="clear" w:color="auto" w:fill="EEECE1" w:themeFill="background2"/>
          </w:tcPr>
          <w:p w14:paraId="6AC1819F" w14:textId="77777777" w:rsidR="00AD2329" w:rsidRPr="0039344A" w:rsidRDefault="00AD2329" w:rsidP="002A7AC0">
            <w:pPr>
              <w:spacing w:line="276" w:lineRule="auto"/>
              <w:rPr>
                <w:i/>
                <w:iCs/>
                <w:sz w:val="22"/>
                <w:szCs w:val="22"/>
              </w:rPr>
            </w:pPr>
          </w:p>
        </w:tc>
      </w:tr>
      <w:tr w:rsidR="006A1054" w:rsidRPr="0039344A" w14:paraId="5DD4A899" w14:textId="77777777" w:rsidTr="007574C9">
        <w:tc>
          <w:tcPr>
            <w:tcW w:w="722" w:type="pct"/>
            <w:shd w:val="clear" w:color="auto" w:fill="auto"/>
          </w:tcPr>
          <w:p w14:paraId="4DEB3D57" w14:textId="1B4B8E8E" w:rsidR="006A1054" w:rsidRDefault="006A1054" w:rsidP="00A9698C">
            <w:pPr>
              <w:pStyle w:val="Style11ptLinespacing15lines"/>
            </w:pPr>
            <w:r>
              <w:t>15.</w:t>
            </w:r>
            <w:r w:rsidR="00B24CBE">
              <w:t>45</w:t>
            </w:r>
            <w:r>
              <w:t>-16.30</w:t>
            </w:r>
          </w:p>
        </w:tc>
        <w:tc>
          <w:tcPr>
            <w:tcW w:w="3463" w:type="pct"/>
            <w:shd w:val="clear" w:color="auto" w:fill="auto"/>
          </w:tcPr>
          <w:p w14:paraId="09E0C0A3" w14:textId="35F682B5" w:rsidR="006A1054" w:rsidRDefault="00BD3DE1" w:rsidP="00BD3DE1">
            <w:pPr>
              <w:spacing w:line="276" w:lineRule="auto"/>
              <w:rPr>
                <w:b/>
                <w:bCs/>
                <w:sz w:val="22"/>
                <w:szCs w:val="22"/>
              </w:rPr>
            </w:pPr>
            <w:r w:rsidRPr="0039344A">
              <w:rPr>
                <w:b/>
                <w:bCs/>
                <w:sz w:val="22"/>
                <w:szCs w:val="22"/>
              </w:rPr>
              <w:t>Session 1</w:t>
            </w:r>
            <w:r w:rsidR="00615706">
              <w:rPr>
                <w:b/>
                <w:bCs/>
                <w:sz w:val="22"/>
                <w:szCs w:val="22"/>
              </w:rPr>
              <w:t>2</w:t>
            </w:r>
            <w:r w:rsidRPr="0039344A">
              <w:rPr>
                <w:b/>
                <w:bCs/>
                <w:sz w:val="22"/>
                <w:szCs w:val="22"/>
              </w:rPr>
              <w:t xml:space="preserve">: </w:t>
            </w:r>
            <w:bookmarkStart w:id="0" w:name="_Hlk132050798"/>
            <w:r w:rsidR="002A7AC0">
              <w:rPr>
                <w:b/>
                <w:bCs/>
                <w:sz w:val="22"/>
                <w:szCs w:val="22"/>
              </w:rPr>
              <w:t>S</w:t>
            </w:r>
            <w:r>
              <w:rPr>
                <w:b/>
                <w:bCs/>
                <w:sz w:val="22"/>
                <w:szCs w:val="22"/>
              </w:rPr>
              <w:t>trengthening coordination, collaboration and communication</w:t>
            </w:r>
            <w:bookmarkEnd w:id="0"/>
          </w:p>
          <w:p w14:paraId="238D7802" w14:textId="77777777" w:rsidR="00BD3DE1" w:rsidRDefault="00BD3DE1" w:rsidP="00BD3DE1">
            <w:pPr>
              <w:spacing w:line="276" w:lineRule="auto"/>
              <w:rPr>
                <w:i/>
                <w:iCs/>
                <w:sz w:val="22"/>
                <w:szCs w:val="22"/>
              </w:rPr>
            </w:pPr>
            <w:r>
              <w:rPr>
                <w:i/>
                <w:iCs/>
                <w:sz w:val="22"/>
                <w:szCs w:val="22"/>
              </w:rPr>
              <w:t xml:space="preserve">This session will provide an opportunity for the regions to reflect on the discussions over the three days and discuss on how </w:t>
            </w:r>
            <w:r w:rsidR="00115A82">
              <w:rPr>
                <w:i/>
                <w:iCs/>
                <w:sz w:val="22"/>
                <w:szCs w:val="22"/>
              </w:rPr>
              <w:t xml:space="preserve">to strengthen coordination, collaboration and communication. </w:t>
            </w:r>
          </w:p>
          <w:p w14:paraId="5391C9B6" w14:textId="77777777" w:rsidR="00115A82" w:rsidRDefault="00115A82" w:rsidP="00BD3DE1">
            <w:pPr>
              <w:spacing w:line="276" w:lineRule="auto"/>
              <w:rPr>
                <w:sz w:val="22"/>
                <w:szCs w:val="22"/>
              </w:rPr>
            </w:pPr>
          </w:p>
          <w:p w14:paraId="549D0C4B" w14:textId="5D50A0F3" w:rsidR="00115A82" w:rsidRPr="00BD3DE1" w:rsidRDefault="00115A82" w:rsidP="00115A82">
            <w:pPr>
              <w:spacing w:after="240" w:line="276" w:lineRule="auto"/>
              <w:rPr>
                <w:i/>
                <w:iCs/>
                <w:sz w:val="22"/>
                <w:szCs w:val="22"/>
              </w:rPr>
            </w:pPr>
            <w:r w:rsidRPr="0039344A">
              <w:rPr>
                <w:sz w:val="22"/>
                <w:szCs w:val="22"/>
              </w:rPr>
              <w:t xml:space="preserve">Rapporteur: </w:t>
            </w:r>
            <w:r w:rsidRPr="0039344A">
              <w:rPr>
                <w:b/>
                <w:bCs/>
                <w:sz w:val="22"/>
                <w:szCs w:val="22"/>
              </w:rPr>
              <w:t>HQ</w:t>
            </w:r>
            <w:r>
              <w:rPr>
                <w:b/>
                <w:bCs/>
                <w:sz w:val="22"/>
                <w:szCs w:val="22"/>
              </w:rPr>
              <w:t>/</w:t>
            </w:r>
            <w:r w:rsidR="009A3824">
              <w:rPr>
                <w:b/>
                <w:bCs/>
                <w:sz w:val="22"/>
                <w:szCs w:val="22"/>
              </w:rPr>
              <w:t>URB</w:t>
            </w:r>
          </w:p>
        </w:tc>
        <w:tc>
          <w:tcPr>
            <w:tcW w:w="815" w:type="pct"/>
          </w:tcPr>
          <w:p w14:paraId="27ED8359" w14:textId="3AF450D8" w:rsidR="006A1054" w:rsidRPr="0039344A" w:rsidRDefault="00115A82" w:rsidP="007605AB">
            <w:pPr>
              <w:spacing w:after="240" w:line="276" w:lineRule="auto"/>
              <w:rPr>
                <w:b/>
                <w:bCs/>
                <w:sz w:val="22"/>
                <w:szCs w:val="22"/>
              </w:rPr>
            </w:pPr>
            <w:r>
              <w:rPr>
                <w:b/>
                <w:bCs/>
                <w:sz w:val="22"/>
                <w:szCs w:val="22"/>
              </w:rPr>
              <w:t>E. Krug</w:t>
            </w:r>
          </w:p>
        </w:tc>
      </w:tr>
      <w:tr w:rsidR="00AD2329" w:rsidRPr="0039344A" w14:paraId="2728A88B" w14:textId="6E70560B" w:rsidTr="007574C9">
        <w:tc>
          <w:tcPr>
            <w:tcW w:w="722" w:type="pct"/>
            <w:shd w:val="clear" w:color="auto" w:fill="auto"/>
          </w:tcPr>
          <w:p w14:paraId="3E9594DD" w14:textId="1DAC362F" w:rsidR="00AD2329" w:rsidRPr="0039344A" w:rsidRDefault="00AD2329" w:rsidP="00A9698C">
            <w:pPr>
              <w:pStyle w:val="Style11ptLinespacing15lines"/>
            </w:pPr>
            <w:r>
              <w:t>16.30-</w:t>
            </w:r>
            <w:r w:rsidRPr="0039344A">
              <w:t>17.00</w:t>
            </w:r>
          </w:p>
        </w:tc>
        <w:tc>
          <w:tcPr>
            <w:tcW w:w="3463" w:type="pct"/>
            <w:shd w:val="clear" w:color="auto" w:fill="auto"/>
          </w:tcPr>
          <w:p w14:paraId="0B7CBC81" w14:textId="219C7173" w:rsidR="00AD2329" w:rsidRPr="0039344A" w:rsidRDefault="00AD2329" w:rsidP="007605AB">
            <w:pPr>
              <w:spacing w:after="240" w:line="276" w:lineRule="auto"/>
              <w:rPr>
                <w:b/>
                <w:bCs/>
                <w:sz w:val="22"/>
                <w:szCs w:val="22"/>
              </w:rPr>
            </w:pPr>
            <w:r w:rsidRPr="0039344A">
              <w:rPr>
                <w:b/>
                <w:bCs/>
                <w:sz w:val="22"/>
                <w:szCs w:val="22"/>
              </w:rPr>
              <w:t>Closing session</w:t>
            </w:r>
          </w:p>
          <w:p w14:paraId="4B5848A6" w14:textId="6B791A0B" w:rsidR="00AD2329" w:rsidRPr="0039344A" w:rsidRDefault="00AD2329" w:rsidP="007605AB">
            <w:pPr>
              <w:spacing w:after="240" w:line="276" w:lineRule="auto"/>
              <w:rPr>
                <w:bCs/>
                <w:i/>
                <w:iCs/>
                <w:sz w:val="22"/>
                <w:szCs w:val="22"/>
              </w:rPr>
            </w:pPr>
            <w:r w:rsidRPr="0039344A">
              <w:rPr>
                <w:bCs/>
                <w:i/>
                <w:iCs/>
                <w:sz w:val="22"/>
                <w:szCs w:val="22"/>
              </w:rPr>
              <w:t>This session will cover</w:t>
            </w:r>
            <w:r w:rsidR="00115A82">
              <w:rPr>
                <w:bCs/>
                <w:i/>
                <w:iCs/>
                <w:sz w:val="22"/>
                <w:szCs w:val="22"/>
              </w:rPr>
              <w:t xml:space="preserve"> any other business,</w:t>
            </w:r>
            <w:r w:rsidRPr="0039344A">
              <w:rPr>
                <w:bCs/>
                <w:i/>
                <w:iCs/>
                <w:sz w:val="22"/>
                <w:szCs w:val="22"/>
              </w:rPr>
              <w:t xml:space="preserve"> next steps and </w:t>
            </w:r>
            <w:r w:rsidR="00115A82">
              <w:rPr>
                <w:bCs/>
                <w:i/>
                <w:iCs/>
                <w:sz w:val="22"/>
                <w:szCs w:val="22"/>
              </w:rPr>
              <w:t>closing</w:t>
            </w:r>
            <w:r w:rsidRPr="0039344A">
              <w:rPr>
                <w:bCs/>
                <w:i/>
                <w:iCs/>
                <w:sz w:val="22"/>
                <w:szCs w:val="22"/>
              </w:rPr>
              <w:t xml:space="preserve">. </w:t>
            </w:r>
          </w:p>
          <w:p w14:paraId="7087DCA5" w14:textId="6B4ABAE3" w:rsidR="00AD2329" w:rsidRPr="0039344A" w:rsidRDefault="00AD2329" w:rsidP="007605AB">
            <w:pPr>
              <w:spacing w:after="240" w:line="276" w:lineRule="auto"/>
              <w:rPr>
                <w:b/>
                <w:bCs/>
                <w:sz w:val="22"/>
                <w:szCs w:val="22"/>
                <w:lang w:val="fr-CH"/>
              </w:rPr>
            </w:pPr>
            <w:r w:rsidRPr="0039344A">
              <w:rPr>
                <w:sz w:val="22"/>
                <w:szCs w:val="22"/>
                <w:lang w:val="fr-CH"/>
              </w:rPr>
              <w:t xml:space="preserve">Rapporteur: </w:t>
            </w:r>
            <w:r w:rsidRPr="0039344A">
              <w:rPr>
                <w:b/>
                <w:bCs/>
                <w:sz w:val="22"/>
                <w:szCs w:val="22"/>
                <w:lang w:val="fr-CH"/>
              </w:rPr>
              <w:t>HQ/</w:t>
            </w:r>
            <w:r w:rsidR="009A3824">
              <w:rPr>
                <w:b/>
                <w:bCs/>
                <w:sz w:val="22"/>
                <w:szCs w:val="22"/>
                <w:lang w:val="fr-CH"/>
              </w:rPr>
              <w:t>CED</w:t>
            </w:r>
          </w:p>
        </w:tc>
        <w:tc>
          <w:tcPr>
            <w:tcW w:w="815" w:type="pct"/>
          </w:tcPr>
          <w:p w14:paraId="66A1D5BD" w14:textId="6F887FFF" w:rsidR="00AD2329" w:rsidRPr="0039344A" w:rsidRDefault="00115A82" w:rsidP="007605AB">
            <w:pPr>
              <w:spacing w:after="240" w:line="276" w:lineRule="auto"/>
              <w:rPr>
                <w:b/>
                <w:bCs/>
                <w:sz w:val="22"/>
                <w:szCs w:val="22"/>
              </w:rPr>
            </w:pPr>
            <w:r>
              <w:rPr>
                <w:b/>
                <w:bCs/>
                <w:sz w:val="22"/>
                <w:szCs w:val="22"/>
              </w:rPr>
              <w:t>E. Krug</w:t>
            </w:r>
          </w:p>
        </w:tc>
      </w:tr>
      <w:tr w:rsidR="00AD2329" w:rsidRPr="0039344A" w14:paraId="0642752B" w14:textId="03EE7C79" w:rsidTr="007574C9">
        <w:tc>
          <w:tcPr>
            <w:tcW w:w="722" w:type="pct"/>
            <w:shd w:val="clear" w:color="auto" w:fill="auto"/>
          </w:tcPr>
          <w:p w14:paraId="2E709156" w14:textId="77777777" w:rsidR="00AD2329" w:rsidRPr="0039344A" w:rsidRDefault="00AD2329" w:rsidP="00A9698C">
            <w:pPr>
              <w:pStyle w:val="Style11ptLinespacing15lines"/>
            </w:pPr>
          </w:p>
        </w:tc>
        <w:tc>
          <w:tcPr>
            <w:tcW w:w="3463" w:type="pct"/>
            <w:shd w:val="clear" w:color="auto" w:fill="auto"/>
          </w:tcPr>
          <w:p w14:paraId="2F846C7B" w14:textId="77777777" w:rsidR="00AD2329" w:rsidRPr="0039344A" w:rsidRDefault="00AD2329" w:rsidP="00354569">
            <w:pPr>
              <w:spacing w:after="240" w:line="276" w:lineRule="auto"/>
              <w:rPr>
                <w:b/>
                <w:bCs/>
                <w:sz w:val="22"/>
                <w:szCs w:val="22"/>
              </w:rPr>
            </w:pPr>
          </w:p>
        </w:tc>
        <w:tc>
          <w:tcPr>
            <w:tcW w:w="815" w:type="pct"/>
          </w:tcPr>
          <w:p w14:paraId="6F29EA0C" w14:textId="77777777" w:rsidR="00AD2329" w:rsidRPr="0039344A" w:rsidRDefault="00AD2329" w:rsidP="00354569">
            <w:pPr>
              <w:spacing w:after="240" w:line="276" w:lineRule="auto"/>
              <w:rPr>
                <w:b/>
                <w:bCs/>
                <w:sz w:val="22"/>
                <w:szCs w:val="22"/>
              </w:rPr>
            </w:pPr>
          </w:p>
        </w:tc>
      </w:tr>
      <w:tr w:rsidR="00AD2329" w:rsidRPr="00CD2227" w14:paraId="379E8BE8" w14:textId="37E541F5" w:rsidTr="003A49C2">
        <w:tc>
          <w:tcPr>
            <w:tcW w:w="4185" w:type="pct"/>
            <w:gridSpan w:val="2"/>
            <w:shd w:val="clear" w:color="auto" w:fill="auto"/>
          </w:tcPr>
          <w:p w14:paraId="79C7B133" w14:textId="250AA1A0" w:rsidR="00AD2329" w:rsidRPr="00CD2227" w:rsidRDefault="00AD2329" w:rsidP="00426F07">
            <w:pPr>
              <w:spacing w:after="240" w:line="276" w:lineRule="auto"/>
              <w:jc w:val="center"/>
              <w:rPr>
                <w:b/>
                <w:bCs/>
                <w:i/>
                <w:iCs/>
                <w:sz w:val="22"/>
                <w:szCs w:val="22"/>
              </w:rPr>
            </w:pPr>
            <w:r w:rsidRPr="0039344A">
              <w:rPr>
                <w:b/>
                <w:bCs/>
                <w:i/>
                <w:iCs/>
                <w:sz w:val="22"/>
                <w:szCs w:val="22"/>
              </w:rPr>
              <w:t>----Close----</w:t>
            </w:r>
          </w:p>
        </w:tc>
        <w:tc>
          <w:tcPr>
            <w:tcW w:w="815" w:type="pct"/>
          </w:tcPr>
          <w:p w14:paraId="71202CA4" w14:textId="77777777" w:rsidR="00AD2329" w:rsidRPr="0039344A" w:rsidRDefault="00AD2329" w:rsidP="00426F07">
            <w:pPr>
              <w:spacing w:after="240" w:line="276" w:lineRule="auto"/>
              <w:jc w:val="center"/>
              <w:rPr>
                <w:b/>
                <w:bCs/>
                <w:i/>
                <w:iCs/>
                <w:sz w:val="22"/>
                <w:szCs w:val="22"/>
              </w:rPr>
            </w:pPr>
          </w:p>
        </w:tc>
      </w:tr>
    </w:tbl>
    <w:p w14:paraId="430D797C" w14:textId="1170A763" w:rsidR="00AC2648" w:rsidRDefault="00AC2648" w:rsidP="007F077B"/>
    <w:sectPr w:rsidR="00AC2648" w:rsidSect="00237C8D">
      <w:headerReference w:type="default" r:id="rId12"/>
      <w:footerReference w:type="default" r:id="rId13"/>
      <w:footerReference w:type="first" r:id="rId14"/>
      <w:type w:val="continuous"/>
      <w:pgSz w:w="11907" w:h="16840" w:code="9"/>
      <w:pgMar w:top="709"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85FC" w14:textId="77777777" w:rsidR="000D13A2" w:rsidRDefault="000D13A2">
      <w:r>
        <w:separator/>
      </w:r>
    </w:p>
  </w:endnote>
  <w:endnote w:type="continuationSeparator" w:id="0">
    <w:p w14:paraId="67071FC3" w14:textId="77777777" w:rsidR="000D13A2" w:rsidRDefault="000D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7400" w14:textId="77777777" w:rsidR="00237C8D" w:rsidRDefault="00237C8D">
    <w:pPr>
      <w:pStyle w:val="Footer"/>
      <w:tabs>
        <w:tab w:val="right" w:pos="9639"/>
      </w:tabs>
      <w:ind w:right="9"/>
    </w:pPr>
  </w:p>
  <w:p w14:paraId="774AEF3A" w14:textId="77777777" w:rsidR="00237C8D" w:rsidRPr="00CB0818" w:rsidRDefault="00237C8D" w:rsidP="00237C8D">
    <w:pPr>
      <w:pStyle w:val="Footer"/>
      <w:pBdr>
        <w:top w:val="single" w:sz="6" w:space="1" w:color="auto"/>
      </w:pBdr>
      <w:tabs>
        <w:tab w:val="right" w:pos="9639"/>
      </w:tabs>
      <w:ind w:right="9"/>
      <w:jc w:val="center"/>
      <w:rPr>
        <w:rFonts w:ascii="Helvetica" w:hAnsi="Helvetica"/>
        <w:sz w:val="18"/>
        <w:szCs w:val="18"/>
      </w:rPr>
    </w:pPr>
    <w:r w:rsidRPr="00CB0818">
      <w:rPr>
        <w:rFonts w:ascii="Arial" w:hAnsi="Arial"/>
        <w:sz w:val="18"/>
        <w:szCs w:val="18"/>
      </w:rPr>
      <w:t xml:space="preserve"> </w:t>
    </w:r>
    <w:r w:rsidRPr="00CB0818">
      <w:rPr>
        <w:rFonts w:ascii="Arial" w:hAnsi="Arial"/>
        <w:sz w:val="18"/>
        <w:szCs w:val="18"/>
      </w:rPr>
      <w:fldChar w:fldCharType="begin"/>
    </w:r>
    <w:r w:rsidRPr="00CB0818">
      <w:rPr>
        <w:rFonts w:ascii="Arial" w:hAnsi="Arial"/>
        <w:sz w:val="18"/>
        <w:szCs w:val="18"/>
      </w:rPr>
      <w:instrText>PAGE</w:instrText>
    </w:r>
    <w:r w:rsidRPr="00CB0818">
      <w:rPr>
        <w:rFonts w:ascii="Arial" w:hAnsi="Arial"/>
        <w:sz w:val="18"/>
        <w:szCs w:val="18"/>
      </w:rPr>
      <w:fldChar w:fldCharType="separate"/>
    </w:r>
    <w:r w:rsidR="00265D11">
      <w:rPr>
        <w:rFonts w:ascii="Arial" w:hAnsi="Arial"/>
        <w:noProof/>
        <w:sz w:val="18"/>
        <w:szCs w:val="18"/>
      </w:rPr>
      <w:t>2</w:t>
    </w:r>
    <w:r w:rsidRPr="00CB0818">
      <w:rPr>
        <w:rFonts w:ascii="Arial" w:hAnsi="Arial"/>
        <w:sz w:val="18"/>
        <w:szCs w:val="18"/>
      </w:rPr>
      <w:fldChar w:fldCharType="end"/>
    </w:r>
    <w:r w:rsidRPr="00CB0818">
      <w:rPr>
        <w:rFonts w:ascii="Arial" w:hAnsi="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ED13" w14:textId="77777777" w:rsidR="00237C8D" w:rsidRPr="003C1489" w:rsidRDefault="00237C8D">
    <w:pPr>
      <w:pStyle w:val="Footer"/>
      <w:pBdr>
        <w:top w:val="single" w:sz="6" w:space="1" w:color="auto"/>
      </w:pBdr>
      <w:rPr>
        <w:rFonts w:ascii="Arial" w:hAnsi="Arial" w:cs="Arial"/>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5FF0" w14:textId="77777777" w:rsidR="000D13A2" w:rsidRDefault="000D13A2">
      <w:r>
        <w:separator/>
      </w:r>
    </w:p>
  </w:footnote>
  <w:footnote w:type="continuationSeparator" w:id="0">
    <w:p w14:paraId="411ADA83" w14:textId="77777777" w:rsidR="000D13A2" w:rsidRDefault="000D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5B7D" w14:textId="77777777" w:rsidR="00237C8D" w:rsidRDefault="00237C8D">
    <w:pPr>
      <w:pStyle w:val="Header"/>
      <w:tabs>
        <w:tab w:val="clear" w:pos="8640"/>
        <w:tab w:val="right" w:pos="9356"/>
        <w:tab w:val="right" w:pos="9639"/>
      </w:tabs>
      <w:ind w:right="9"/>
      <w:rPr>
        <w:sz w:val="24"/>
      </w:rPr>
    </w:pPr>
  </w:p>
  <w:p w14:paraId="53AFA3A6" w14:textId="77777777" w:rsidR="00237C8D" w:rsidRDefault="00237C8D" w:rsidP="00237C8D">
    <w:pPr>
      <w:pStyle w:val="Header"/>
      <w:pBdr>
        <w:top w:val="single" w:sz="6" w:space="3" w:color="auto"/>
      </w:pBdr>
      <w:tabs>
        <w:tab w:val="right" w:pos="9639"/>
      </w:tabs>
      <w:ind w:right="9"/>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190"/>
    <w:multiLevelType w:val="hybridMultilevel"/>
    <w:tmpl w:val="D35E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1188"/>
    <w:multiLevelType w:val="hybridMultilevel"/>
    <w:tmpl w:val="F66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A2A96"/>
    <w:multiLevelType w:val="hybridMultilevel"/>
    <w:tmpl w:val="12C2D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8D0DDE"/>
    <w:multiLevelType w:val="hybridMultilevel"/>
    <w:tmpl w:val="3EA0E3CA"/>
    <w:lvl w:ilvl="0" w:tplc="04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4" w15:restartNumberingAfterBreak="0">
    <w:nsid w:val="191E4C08"/>
    <w:multiLevelType w:val="hybridMultilevel"/>
    <w:tmpl w:val="2F0A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61C72"/>
    <w:multiLevelType w:val="hybridMultilevel"/>
    <w:tmpl w:val="DEC24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AB6BA6"/>
    <w:multiLevelType w:val="hybridMultilevel"/>
    <w:tmpl w:val="C93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41D1B"/>
    <w:multiLevelType w:val="hybridMultilevel"/>
    <w:tmpl w:val="878C8B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9453ADC"/>
    <w:multiLevelType w:val="hybridMultilevel"/>
    <w:tmpl w:val="1EB20A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D97709"/>
    <w:multiLevelType w:val="hybridMultilevel"/>
    <w:tmpl w:val="F1AAAC9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253244D"/>
    <w:multiLevelType w:val="hybridMultilevel"/>
    <w:tmpl w:val="8B82816E"/>
    <w:lvl w:ilvl="0" w:tplc="73EEF6BE">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05B30"/>
    <w:multiLevelType w:val="hybridMultilevel"/>
    <w:tmpl w:val="A502A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676C45"/>
    <w:multiLevelType w:val="hybridMultilevel"/>
    <w:tmpl w:val="A10CE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C57B6D"/>
    <w:multiLevelType w:val="hybridMultilevel"/>
    <w:tmpl w:val="993646C4"/>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65F95A16"/>
    <w:multiLevelType w:val="hybridMultilevel"/>
    <w:tmpl w:val="7150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615DD"/>
    <w:multiLevelType w:val="hybridMultilevel"/>
    <w:tmpl w:val="09F45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5E0DBE"/>
    <w:multiLevelType w:val="hybridMultilevel"/>
    <w:tmpl w:val="EE0A8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927857"/>
    <w:multiLevelType w:val="hybridMultilevel"/>
    <w:tmpl w:val="652A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54044C"/>
    <w:multiLevelType w:val="hybridMultilevel"/>
    <w:tmpl w:val="0FD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55731"/>
    <w:multiLevelType w:val="hybridMultilevel"/>
    <w:tmpl w:val="94923B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7BB22951"/>
    <w:multiLevelType w:val="hybridMultilevel"/>
    <w:tmpl w:val="68503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DD1611"/>
    <w:multiLevelType w:val="hybridMultilevel"/>
    <w:tmpl w:val="5D249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7910B1"/>
    <w:multiLevelType w:val="hybridMultilevel"/>
    <w:tmpl w:val="CFD4ABEE"/>
    <w:lvl w:ilvl="0" w:tplc="8B164934">
      <w:start w:val="1"/>
      <w:numFmt w:val="lowerLetter"/>
      <w:lvlText w:val="%1."/>
      <w:lvlJc w:val="left"/>
      <w:pPr>
        <w:ind w:left="564" w:hanging="5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D124F8"/>
    <w:multiLevelType w:val="hybridMultilevel"/>
    <w:tmpl w:val="13EA7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0"/>
  </w:num>
  <w:num w:numId="4">
    <w:abstractNumId w:val="4"/>
  </w:num>
  <w:num w:numId="5">
    <w:abstractNumId w:val="3"/>
  </w:num>
  <w:num w:numId="6">
    <w:abstractNumId w:val="13"/>
  </w:num>
  <w:num w:numId="7">
    <w:abstractNumId w:val="8"/>
  </w:num>
  <w:num w:numId="8">
    <w:abstractNumId w:val="11"/>
  </w:num>
  <w:num w:numId="9">
    <w:abstractNumId w:val="20"/>
  </w:num>
  <w:num w:numId="10">
    <w:abstractNumId w:val="22"/>
  </w:num>
  <w:num w:numId="11">
    <w:abstractNumId w:val="15"/>
  </w:num>
  <w:num w:numId="12">
    <w:abstractNumId w:val="7"/>
  </w:num>
  <w:num w:numId="13">
    <w:abstractNumId w:val="9"/>
  </w:num>
  <w:num w:numId="14">
    <w:abstractNumId w:val="6"/>
  </w:num>
  <w:num w:numId="15">
    <w:abstractNumId w:val="10"/>
  </w:num>
  <w:num w:numId="16">
    <w:abstractNumId w:val="14"/>
  </w:num>
  <w:num w:numId="17">
    <w:abstractNumId w:val="17"/>
  </w:num>
  <w:num w:numId="18">
    <w:abstractNumId w:val="12"/>
  </w:num>
  <w:num w:numId="19">
    <w:abstractNumId w:val="21"/>
  </w:num>
  <w:num w:numId="20">
    <w:abstractNumId w:val="23"/>
  </w:num>
  <w:num w:numId="21">
    <w:abstractNumId w:val="18"/>
  </w:num>
  <w:num w:numId="22">
    <w:abstractNumId w:val="2"/>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D2"/>
    <w:rsid w:val="00000014"/>
    <w:rsid w:val="000020DC"/>
    <w:rsid w:val="00003A5F"/>
    <w:rsid w:val="00005AD9"/>
    <w:rsid w:val="00010020"/>
    <w:rsid w:val="00010047"/>
    <w:rsid w:val="0001125F"/>
    <w:rsid w:val="000128F3"/>
    <w:rsid w:val="00017267"/>
    <w:rsid w:val="0002242E"/>
    <w:rsid w:val="00023B52"/>
    <w:rsid w:val="0003079B"/>
    <w:rsid w:val="000319A2"/>
    <w:rsid w:val="00042603"/>
    <w:rsid w:val="000461DD"/>
    <w:rsid w:val="000521E5"/>
    <w:rsid w:val="0005461C"/>
    <w:rsid w:val="00056EDD"/>
    <w:rsid w:val="00060228"/>
    <w:rsid w:val="00063AA6"/>
    <w:rsid w:val="00064D68"/>
    <w:rsid w:val="00066065"/>
    <w:rsid w:val="000716E1"/>
    <w:rsid w:val="00077A4A"/>
    <w:rsid w:val="00087E7B"/>
    <w:rsid w:val="000A6FC3"/>
    <w:rsid w:val="000B137F"/>
    <w:rsid w:val="000B445D"/>
    <w:rsid w:val="000B5F70"/>
    <w:rsid w:val="000C2858"/>
    <w:rsid w:val="000C7E0E"/>
    <w:rsid w:val="000D13A2"/>
    <w:rsid w:val="000F0FEB"/>
    <w:rsid w:val="000F225A"/>
    <w:rsid w:val="00101B13"/>
    <w:rsid w:val="00107C3D"/>
    <w:rsid w:val="0011470C"/>
    <w:rsid w:val="00115A82"/>
    <w:rsid w:val="00122E39"/>
    <w:rsid w:val="001230A4"/>
    <w:rsid w:val="00123FC0"/>
    <w:rsid w:val="001255CB"/>
    <w:rsid w:val="00125EDA"/>
    <w:rsid w:val="00136595"/>
    <w:rsid w:val="0014091C"/>
    <w:rsid w:val="00140D68"/>
    <w:rsid w:val="00144FA4"/>
    <w:rsid w:val="001456EC"/>
    <w:rsid w:val="00147E99"/>
    <w:rsid w:val="00150964"/>
    <w:rsid w:val="00150E89"/>
    <w:rsid w:val="00152F89"/>
    <w:rsid w:val="00154AF2"/>
    <w:rsid w:val="00157631"/>
    <w:rsid w:val="00157CA7"/>
    <w:rsid w:val="0016015C"/>
    <w:rsid w:val="00161F23"/>
    <w:rsid w:val="00167EE8"/>
    <w:rsid w:val="0017203B"/>
    <w:rsid w:val="00176862"/>
    <w:rsid w:val="001825F4"/>
    <w:rsid w:val="00183162"/>
    <w:rsid w:val="001A6AE6"/>
    <w:rsid w:val="001A78AA"/>
    <w:rsid w:val="001A7CEA"/>
    <w:rsid w:val="001B6FCF"/>
    <w:rsid w:val="001B7876"/>
    <w:rsid w:val="001C0E3A"/>
    <w:rsid w:val="001C1BAE"/>
    <w:rsid w:val="001D18A7"/>
    <w:rsid w:val="001D4F00"/>
    <w:rsid w:val="001E2669"/>
    <w:rsid w:val="001E283C"/>
    <w:rsid w:val="001E667B"/>
    <w:rsid w:val="001E749A"/>
    <w:rsid w:val="001F2EDF"/>
    <w:rsid w:val="001F5445"/>
    <w:rsid w:val="00202FDF"/>
    <w:rsid w:val="00206AF0"/>
    <w:rsid w:val="00210443"/>
    <w:rsid w:val="00216382"/>
    <w:rsid w:val="00217B0D"/>
    <w:rsid w:val="00222453"/>
    <w:rsid w:val="002240EF"/>
    <w:rsid w:val="002249A9"/>
    <w:rsid w:val="00227E9A"/>
    <w:rsid w:val="00230382"/>
    <w:rsid w:val="00235304"/>
    <w:rsid w:val="002376CB"/>
    <w:rsid w:val="00237C8D"/>
    <w:rsid w:val="002449AE"/>
    <w:rsid w:val="00265D11"/>
    <w:rsid w:val="00266DAA"/>
    <w:rsid w:val="00271168"/>
    <w:rsid w:val="00276043"/>
    <w:rsid w:val="00280EDE"/>
    <w:rsid w:val="00284F27"/>
    <w:rsid w:val="00292CA1"/>
    <w:rsid w:val="002A7AC0"/>
    <w:rsid w:val="002B1234"/>
    <w:rsid w:val="002B1C2A"/>
    <w:rsid w:val="002B6D35"/>
    <w:rsid w:val="002B75AA"/>
    <w:rsid w:val="002C1DCF"/>
    <w:rsid w:val="002C2EBA"/>
    <w:rsid w:val="002C6C3F"/>
    <w:rsid w:val="002C79A1"/>
    <w:rsid w:val="002E3B55"/>
    <w:rsid w:val="002E4047"/>
    <w:rsid w:val="002E4967"/>
    <w:rsid w:val="00300593"/>
    <w:rsid w:val="003157F4"/>
    <w:rsid w:val="00321784"/>
    <w:rsid w:val="00322E94"/>
    <w:rsid w:val="003248A4"/>
    <w:rsid w:val="003250C3"/>
    <w:rsid w:val="00327400"/>
    <w:rsid w:val="00331659"/>
    <w:rsid w:val="003341AD"/>
    <w:rsid w:val="00335D56"/>
    <w:rsid w:val="0033708E"/>
    <w:rsid w:val="003421DA"/>
    <w:rsid w:val="003443D1"/>
    <w:rsid w:val="003443DE"/>
    <w:rsid w:val="0034748A"/>
    <w:rsid w:val="00352ECA"/>
    <w:rsid w:val="00353839"/>
    <w:rsid w:val="003650C5"/>
    <w:rsid w:val="00366FAB"/>
    <w:rsid w:val="00376AD5"/>
    <w:rsid w:val="003930E4"/>
    <w:rsid w:val="0039344A"/>
    <w:rsid w:val="003954E6"/>
    <w:rsid w:val="003A49C2"/>
    <w:rsid w:val="003B1AB4"/>
    <w:rsid w:val="003B4BA5"/>
    <w:rsid w:val="003B5BE1"/>
    <w:rsid w:val="003B6A44"/>
    <w:rsid w:val="003C40B7"/>
    <w:rsid w:val="003C5633"/>
    <w:rsid w:val="003E3207"/>
    <w:rsid w:val="003E3B22"/>
    <w:rsid w:val="003F4297"/>
    <w:rsid w:val="00400184"/>
    <w:rsid w:val="0042582E"/>
    <w:rsid w:val="004416A3"/>
    <w:rsid w:val="00443402"/>
    <w:rsid w:val="004513D6"/>
    <w:rsid w:val="00456EF3"/>
    <w:rsid w:val="00464BF2"/>
    <w:rsid w:val="0047401E"/>
    <w:rsid w:val="0047794D"/>
    <w:rsid w:val="00485087"/>
    <w:rsid w:val="00486D7E"/>
    <w:rsid w:val="004A171F"/>
    <w:rsid w:val="004A17DA"/>
    <w:rsid w:val="004B338E"/>
    <w:rsid w:val="004B5D95"/>
    <w:rsid w:val="004C6627"/>
    <w:rsid w:val="004D0C35"/>
    <w:rsid w:val="004D12F2"/>
    <w:rsid w:val="004D2461"/>
    <w:rsid w:val="004D2C75"/>
    <w:rsid w:val="004D5ED6"/>
    <w:rsid w:val="004D72CE"/>
    <w:rsid w:val="004E02E0"/>
    <w:rsid w:val="004E411C"/>
    <w:rsid w:val="004E643B"/>
    <w:rsid w:val="00505B65"/>
    <w:rsid w:val="00505CF6"/>
    <w:rsid w:val="005075EF"/>
    <w:rsid w:val="00507A6F"/>
    <w:rsid w:val="00516ABD"/>
    <w:rsid w:val="005248F7"/>
    <w:rsid w:val="00527DB5"/>
    <w:rsid w:val="00531DB3"/>
    <w:rsid w:val="00532ED7"/>
    <w:rsid w:val="00534EDC"/>
    <w:rsid w:val="00551BF5"/>
    <w:rsid w:val="005528DF"/>
    <w:rsid w:val="00561137"/>
    <w:rsid w:val="00571717"/>
    <w:rsid w:val="00572C3C"/>
    <w:rsid w:val="00581C22"/>
    <w:rsid w:val="00582050"/>
    <w:rsid w:val="00590370"/>
    <w:rsid w:val="00590593"/>
    <w:rsid w:val="00591043"/>
    <w:rsid w:val="00592BDD"/>
    <w:rsid w:val="00593B52"/>
    <w:rsid w:val="005A21A5"/>
    <w:rsid w:val="005B10AC"/>
    <w:rsid w:val="005B2DC9"/>
    <w:rsid w:val="005B524F"/>
    <w:rsid w:val="005D0426"/>
    <w:rsid w:val="005D2395"/>
    <w:rsid w:val="005D6BE3"/>
    <w:rsid w:val="005E5F63"/>
    <w:rsid w:val="005F74DE"/>
    <w:rsid w:val="00603C30"/>
    <w:rsid w:val="00607081"/>
    <w:rsid w:val="00615706"/>
    <w:rsid w:val="006157CA"/>
    <w:rsid w:val="00615B18"/>
    <w:rsid w:val="0061660F"/>
    <w:rsid w:val="006238D8"/>
    <w:rsid w:val="00623DFF"/>
    <w:rsid w:val="0063522B"/>
    <w:rsid w:val="00635FAF"/>
    <w:rsid w:val="00647AED"/>
    <w:rsid w:val="00647DBE"/>
    <w:rsid w:val="006621F0"/>
    <w:rsid w:val="006645A5"/>
    <w:rsid w:val="00664B2D"/>
    <w:rsid w:val="00665239"/>
    <w:rsid w:val="00671784"/>
    <w:rsid w:val="006813D6"/>
    <w:rsid w:val="00681611"/>
    <w:rsid w:val="00685063"/>
    <w:rsid w:val="006868FE"/>
    <w:rsid w:val="00687E34"/>
    <w:rsid w:val="006943B9"/>
    <w:rsid w:val="006A1054"/>
    <w:rsid w:val="006A5083"/>
    <w:rsid w:val="006B0332"/>
    <w:rsid w:val="006B36FB"/>
    <w:rsid w:val="006B7C89"/>
    <w:rsid w:val="006C30BE"/>
    <w:rsid w:val="006C68B6"/>
    <w:rsid w:val="006C79C2"/>
    <w:rsid w:val="006E19CD"/>
    <w:rsid w:val="006E563B"/>
    <w:rsid w:val="006F2BCE"/>
    <w:rsid w:val="006F497A"/>
    <w:rsid w:val="006F635C"/>
    <w:rsid w:val="006F755B"/>
    <w:rsid w:val="00703691"/>
    <w:rsid w:val="00707543"/>
    <w:rsid w:val="0071247F"/>
    <w:rsid w:val="00720A0F"/>
    <w:rsid w:val="00726F32"/>
    <w:rsid w:val="00727990"/>
    <w:rsid w:val="007300A3"/>
    <w:rsid w:val="007370AE"/>
    <w:rsid w:val="00745CD2"/>
    <w:rsid w:val="0075135C"/>
    <w:rsid w:val="00752F7E"/>
    <w:rsid w:val="007574C9"/>
    <w:rsid w:val="00762FE2"/>
    <w:rsid w:val="00763F84"/>
    <w:rsid w:val="00767A4B"/>
    <w:rsid w:val="00772053"/>
    <w:rsid w:val="0077331D"/>
    <w:rsid w:val="00783B31"/>
    <w:rsid w:val="007840E7"/>
    <w:rsid w:val="00790842"/>
    <w:rsid w:val="00791B4B"/>
    <w:rsid w:val="00791F7E"/>
    <w:rsid w:val="007B12F5"/>
    <w:rsid w:val="007B16CA"/>
    <w:rsid w:val="007B7D04"/>
    <w:rsid w:val="007C03DF"/>
    <w:rsid w:val="007D2BA7"/>
    <w:rsid w:val="007D302C"/>
    <w:rsid w:val="007E7578"/>
    <w:rsid w:val="007E763B"/>
    <w:rsid w:val="007E7F88"/>
    <w:rsid w:val="007F077B"/>
    <w:rsid w:val="007F090C"/>
    <w:rsid w:val="007F1C2A"/>
    <w:rsid w:val="007F340E"/>
    <w:rsid w:val="0080019F"/>
    <w:rsid w:val="00810B0F"/>
    <w:rsid w:val="00813E9B"/>
    <w:rsid w:val="00814E11"/>
    <w:rsid w:val="00815029"/>
    <w:rsid w:val="00822AE4"/>
    <w:rsid w:val="00823C31"/>
    <w:rsid w:val="00833C41"/>
    <w:rsid w:val="00841797"/>
    <w:rsid w:val="00857F95"/>
    <w:rsid w:val="00862371"/>
    <w:rsid w:val="00864C30"/>
    <w:rsid w:val="00865F7B"/>
    <w:rsid w:val="00873935"/>
    <w:rsid w:val="0087534D"/>
    <w:rsid w:val="008758F9"/>
    <w:rsid w:val="00886A2B"/>
    <w:rsid w:val="00891675"/>
    <w:rsid w:val="0089473C"/>
    <w:rsid w:val="00895352"/>
    <w:rsid w:val="008A3D66"/>
    <w:rsid w:val="008A5E17"/>
    <w:rsid w:val="008B0CE6"/>
    <w:rsid w:val="008B2C5B"/>
    <w:rsid w:val="008B3CC1"/>
    <w:rsid w:val="008B50A6"/>
    <w:rsid w:val="008B6972"/>
    <w:rsid w:val="008E4774"/>
    <w:rsid w:val="008F04F3"/>
    <w:rsid w:val="008F4060"/>
    <w:rsid w:val="008F48C3"/>
    <w:rsid w:val="00902910"/>
    <w:rsid w:val="00902ED0"/>
    <w:rsid w:val="00903D10"/>
    <w:rsid w:val="00906D57"/>
    <w:rsid w:val="009114CE"/>
    <w:rsid w:val="00911A36"/>
    <w:rsid w:val="009148B7"/>
    <w:rsid w:val="00914E69"/>
    <w:rsid w:val="00922EC9"/>
    <w:rsid w:val="00942DBE"/>
    <w:rsid w:val="009455F4"/>
    <w:rsid w:val="00951156"/>
    <w:rsid w:val="0095128B"/>
    <w:rsid w:val="00954018"/>
    <w:rsid w:val="00962563"/>
    <w:rsid w:val="0096670A"/>
    <w:rsid w:val="0097032B"/>
    <w:rsid w:val="009717DA"/>
    <w:rsid w:val="00984E1E"/>
    <w:rsid w:val="009859A9"/>
    <w:rsid w:val="00995494"/>
    <w:rsid w:val="00997DD0"/>
    <w:rsid w:val="009A333C"/>
    <w:rsid w:val="009A3824"/>
    <w:rsid w:val="009A58EA"/>
    <w:rsid w:val="009A6C3D"/>
    <w:rsid w:val="009B21DB"/>
    <w:rsid w:val="009B2548"/>
    <w:rsid w:val="009B2F4A"/>
    <w:rsid w:val="009B5A82"/>
    <w:rsid w:val="009C2554"/>
    <w:rsid w:val="009C311D"/>
    <w:rsid w:val="009C3BC2"/>
    <w:rsid w:val="009D11E5"/>
    <w:rsid w:val="009D3374"/>
    <w:rsid w:val="009E53B8"/>
    <w:rsid w:val="009E580E"/>
    <w:rsid w:val="009E5F9D"/>
    <w:rsid w:val="009F30E8"/>
    <w:rsid w:val="00A00142"/>
    <w:rsid w:val="00A01975"/>
    <w:rsid w:val="00A02C39"/>
    <w:rsid w:val="00A16F02"/>
    <w:rsid w:val="00A20472"/>
    <w:rsid w:val="00A2099C"/>
    <w:rsid w:val="00A23557"/>
    <w:rsid w:val="00A243D6"/>
    <w:rsid w:val="00A272F6"/>
    <w:rsid w:val="00A3763C"/>
    <w:rsid w:val="00A46DFC"/>
    <w:rsid w:val="00A51425"/>
    <w:rsid w:val="00A51D80"/>
    <w:rsid w:val="00A5281B"/>
    <w:rsid w:val="00A52A62"/>
    <w:rsid w:val="00A62CF2"/>
    <w:rsid w:val="00A70FA6"/>
    <w:rsid w:val="00A70FBC"/>
    <w:rsid w:val="00A740B8"/>
    <w:rsid w:val="00A76EF6"/>
    <w:rsid w:val="00A8335F"/>
    <w:rsid w:val="00A9503C"/>
    <w:rsid w:val="00A9698C"/>
    <w:rsid w:val="00AA48FB"/>
    <w:rsid w:val="00AB0082"/>
    <w:rsid w:val="00AC0CFF"/>
    <w:rsid w:val="00AC205C"/>
    <w:rsid w:val="00AC2648"/>
    <w:rsid w:val="00AC65C5"/>
    <w:rsid w:val="00AD1AD5"/>
    <w:rsid w:val="00AD2329"/>
    <w:rsid w:val="00AD2769"/>
    <w:rsid w:val="00AD4481"/>
    <w:rsid w:val="00AF13A0"/>
    <w:rsid w:val="00AF219C"/>
    <w:rsid w:val="00B073B1"/>
    <w:rsid w:val="00B10560"/>
    <w:rsid w:val="00B13E3E"/>
    <w:rsid w:val="00B15F5F"/>
    <w:rsid w:val="00B17309"/>
    <w:rsid w:val="00B21E59"/>
    <w:rsid w:val="00B22A88"/>
    <w:rsid w:val="00B24CBE"/>
    <w:rsid w:val="00B2594D"/>
    <w:rsid w:val="00B267DB"/>
    <w:rsid w:val="00B347C1"/>
    <w:rsid w:val="00B34EA3"/>
    <w:rsid w:val="00B40F05"/>
    <w:rsid w:val="00B41E38"/>
    <w:rsid w:val="00B42FE1"/>
    <w:rsid w:val="00B51F7D"/>
    <w:rsid w:val="00B52190"/>
    <w:rsid w:val="00B552AB"/>
    <w:rsid w:val="00B630DB"/>
    <w:rsid w:val="00B64A9B"/>
    <w:rsid w:val="00B70984"/>
    <w:rsid w:val="00B72AEA"/>
    <w:rsid w:val="00BA6806"/>
    <w:rsid w:val="00BB3CB6"/>
    <w:rsid w:val="00BC1D6E"/>
    <w:rsid w:val="00BC1FBA"/>
    <w:rsid w:val="00BD2382"/>
    <w:rsid w:val="00BD313E"/>
    <w:rsid w:val="00BD3DE1"/>
    <w:rsid w:val="00BD4E6D"/>
    <w:rsid w:val="00BD5B0B"/>
    <w:rsid w:val="00BF04E4"/>
    <w:rsid w:val="00BF288C"/>
    <w:rsid w:val="00BF68C7"/>
    <w:rsid w:val="00BF6D5C"/>
    <w:rsid w:val="00BF7005"/>
    <w:rsid w:val="00C078B4"/>
    <w:rsid w:val="00C107B4"/>
    <w:rsid w:val="00C20459"/>
    <w:rsid w:val="00C2479D"/>
    <w:rsid w:val="00C26F33"/>
    <w:rsid w:val="00C40C41"/>
    <w:rsid w:val="00C41782"/>
    <w:rsid w:val="00C45F8F"/>
    <w:rsid w:val="00C469EE"/>
    <w:rsid w:val="00C46F1D"/>
    <w:rsid w:val="00C50ACC"/>
    <w:rsid w:val="00C51850"/>
    <w:rsid w:val="00C57A20"/>
    <w:rsid w:val="00C60E33"/>
    <w:rsid w:val="00C7558A"/>
    <w:rsid w:val="00C76184"/>
    <w:rsid w:val="00C81729"/>
    <w:rsid w:val="00C92288"/>
    <w:rsid w:val="00C95C96"/>
    <w:rsid w:val="00C96088"/>
    <w:rsid w:val="00CA499A"/>
    <w:rsid w:val="00CB4643"/>
    <w:rsid w:val="00CC0965"/>
    <w:rsid w:val="00CD15CF"/>
    <w:rsid w:val="00CE2715"/>
    <w:rsid w:val="00CE2871"/>
    <w:rsid w:val="00CE4F05"/>
    <w:rsid w:val="00CE599E"/>
    <w:rsid w:val="00CE79D5"/>
    <w:rsid w:val="00CF074C"/>
    <w:rsid w:val="00CF5A9C"/>
    <w:rsid w:val="00CF5AF3"/>
    <w:rsid w:val="00D00E26"/>
    <w:rsid w:val="00D01E00"/>
    <w:rsid w:val="00D05001"/>
    <w:rsid w:val="00D056D6"/>
    <w:rsid w:val="00D13111"/>
    <w:rsid w:val="00D141CE"/>
    <w:rsid w:val="00D145A5"/>
    <w:rsid w:val="00D23B07"/>
    <w:rsid w:val="00D25E29"/>
    <w:rsid w:val="00D321B5"/>
    <w:rsid w:val="00D33A8C"/>
    <w:rsid w:val="00D44D63"/>
    <w:rsid w:val="00D55768"/>
    <w:rsid w:val="00D601E3"/>
    <w:rsid w:val="00D6082C"/>
    <w:rsid w:val="00D6090E"/>
    <w:rsid w:val="00D6372F"/>
    <w:rsid w:val="00D70DE5"/>
    <w:rsid w:val="00D718BA"/>
    <w:rsid w:val="00D77599"/>
    <w:rsid w:val="00D801D2"/>
    <w:rsid w:val="00D8279D"/>
    <w:rsid w:val="00D83131"/>
    <w:rsid w:val="00D85A42"/>
    <w:rsid w:val="00D923B7"/>
    <w:rsid w:val="00D9275E"/>
    <w:rsid w:val="00D942D8"/>
    <w:rsid w:val="00DB0BD4"/>
    <w:rsid w:val="00DC7230"/>
    <w:rsid w:val="00DD1EA4"/>
    <w:rsid w:val="00DE179D"/>
    <w:rsid w:val="00E03C4A"/>
    <w:rsid w:val="00E06465"/>
    <w:rsid w:val="00E06D8E"/>
    <w:rsid w:val="00E15DC2"/>
    <w:rsid w:val="00E1677D"/>
    <w:rsid w:val="00E17648"/>
    <w:rsid w:val="00E220B5"/>
    <w:rsid w:val="00E277BB"/>
    <w:rsid w:val="00E31AE7"/>
    <w:rsid w:val="00E32B5C"/>
    <w:rsid w:val="00E337E7"/>
    <w:rsid w:val="00E4131E"/>
    <w:rsid w:val="00E454A6"/>
    <w:rsid w:val="00E465B7"/>
    <w:rsid w:val="00E47D9F"/>
    <w:rsid w:val="00E54C5D"/>
    <w:rsid w:val="00E67209"/>
    <w:rsid w:val="00E71F06"/>
    <w:rsid w:val="00E83AFE"/>
    <w:rsid w:val="00E842E2"/>
    <w:rsid w:val="00E87420"/>
    <w:rsid w:val="00EA0390"/>
    <w:rsid w:val="00EB2C51"/>
    <w:rsid w:val="00EB2F7E"/>
    <w:rsid w:val="00EC1C1B"/>
    <w:rsid w:val="00EC2756"/>
    <w:rsid w:val="00EC3538"/>
    <w:rsid w:val="00EC39EA"/>
    <w:rsid w:val="00ED21D3"/>
    <w:rsid w:val="00EF0F54"/>
    <w:rsid w:val="00EF2D20"/>
    <w:rsid w:val="00EF62A7"/>
    <w:rsid w:val="00F066F2"/>
    <w:rsid w:val="00F07EC2"/>
    <w:rsid w:val="00F2148C"/>
    <w:rsid w:val="00F220FE"/>
    <w:rsid w:val="00F237E9"/>
    <w:rsid w:val="00F241B1"/>
    <w:rsid w:val="00F32F72"/>
    <w:rsid w:val="00F345A8"/>
    <w:rsid w:val="00F36296"/>
    <w:rsid w:val="00F36E64"/>
    <w:rsid w:val="00F4314E"/>
    <w:rsid w:val="00F521C3"/>
    <w:rsid w:val="00F62E77"/>
    <w:rsid w:val="00F632AE"/>
    <w:rsid w:val="00F64D5B"/>
    <w:rsid w:val="00F7264E"/>
    <w:rsid w:val="00F747B3"/>
    <w:rsid w:val="00F74F71"/>
    <w:rsid w:val="00F80DD6"/>
    <w:rsid w:val="00F86C24"/>
    <w:rsid w:val="00F92FB0"/>
    <w:rsid w:val="00F97CB3"/>
    <w:rsid w:val="00FA5CCD"/>
    <w:rsid w:val="00FC26D8"/>
    <w:rsid w:val="00FD54E0"/>
    <w:rsid w:val="00FD750E"/>
    <w:rsid w:val="00FE7679"/>
    <w:rsid w:val="00FF75E9"/>
    <w:rsid w:val="01A8E09F"/>
    <w:rsid w:val="17EC80C4"/>
    <w:rsid w:val="2374C1D2"/>
    <w:rsid w:val="463D69C5"/>
    <w:rsid w:val="4A2DD3FD"/>
    <w:rsid w:val="5083ED24"/>
    <w:rsid w:val="521FBD85"/>
    <w:rsid w:val="57628343"/>
    <w:rsid w:val="5ADFB6D5"/>
    <w:rsid w:val="5C759EA0"/>
    <w:rsid w:val="7A614A8E"/>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B7955"/>
  <w15:docId w15:val="{E9E23D84-FC4F-4B8C-9123-2E924F54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F70"/>
  </w:style>
  <w:style w:type="paragraph" w:styleId="Heading1">
    <w:name w:val="heading 1"/>
    <w:basedOn w:val="Normal"/>
    <w:next w:val="Normal"/>
    <w:qFormat/>
    <w:rsid w:val="005767DB"/>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32"/>
      <w:szCs w:val="32"/>
    </w:rPr>
  </w:style>
  <w:style w:type="paragraph" w:styleId="Heading4">
    <w:name w:val="heading 4"/>
    <w:basedOn w:val="Normal"/>
    <w:next w:val="Normal"/>
    <w:qFormat/>
    <w:rsid w:val="005767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0D659A"/>
    <w:pPr>
      <w:jc w:val="center"/>
    </w:pPr>
    <w:rPr>
      <w:b/>
      <w:bCs/>
      <w:sz w:val="32"/>
      <w:szCs w:val="32"/>
    </w:rPr>
  </w:style>
  <w:style w:type="paragraph" w:customStyle="1" w:styleId="capacity">
    <w:name w:val="capacity"/>
    <w:basedOn w:val="Normal"/>
    <w:next w:val="Normal"/>
    <w:pPr>
      <w:tabs>
        <w:tab w:val="right" w:pos="9356"/>
      </w:tabs>
      <w:jc w:val="center"/>
    </w:pPr>
    <w:rPr>
      <w:b/>
      <w:bCs/>
      <w:sz w:val="28"/>
      <w:szCs w:val="28"/>
    </w:rPr>
  </w:style>
  <w:style w:type="paragraph" w:customStyle="1" w:styleId="represent">
    <w:name w:val="represent"/>
    <w:basedOn w:val="Normal"/>
    <w:rPr>
      <w:b/>
      <w:bCs/>
      <w:sz w:val="24"/>
      <w:szCs w:val="24"/>
    </w:rPr>
  </w:style>
  <w:style w:type="character" w:styleId="Hyperlink">
    <w:name w:val="Hyperlink"/>
    <w:rsid w:val="005767DB"/>
    <w:rPr>
      <w:color w:val="0000FF"/>
      <w:u w:val="single"/>
    </w:rPr>
  </w:style>
  <w:style w:type="paragraph" w:customStyle="1" w:styleId="Default">
    <w:name w:val="Default"/>
    <w:uiPriority w:val="99"/>
    <w:rsid w:val="009761AD"/>
    <w:pPr>
      <w:autoSpaceDE w:val="0"/>
      <w:autoSpaceDN w:val="0"/>
      <w:adjustRightInd w:val="0"/>
    </w:pPr>
    <w:rPr>
      <w:rFonts w:eastAsia="SimSun"/>
      <w:color w:val="000000"/>
      <w:sz w:val="24"/>
      <w:szCs w:val="24"/>
      <w:lang w:val="en-US"/>
    </w:rPr>
  </w:style>
  <w:style w:type="character" w:styleId="FootnoteReference">
    <w:name w:val="footnote reference"/>
    <w:uiPriority w:val="99"/>
    <w:rsid w:val="009761AD"/>
    <w:rPr>
      <w:rFonts w:cs="Times New Roman"/>
      <w:vertAlign w:val="superscript"/>
    </w:rPr>
  </w:style>
  <w:style w:type="paragraph" w:styleId="BalloonText">
    <w:name w:val="Balloon Text"/>
    <w:basedOn w:val="Normal"/>
    <w:link w:val="BalloonTextChar"/>
    <w:rsid w:val="00556245"/>
    <w:rPr>
      <w:rFonts w:ascii="Lucida Grande" w:hAnsi="Lucida Grande"/>
      <w:sz w:val="18"/>
      <w:szCs w:val="18"/>
    </w:rPr>
  </w:style>
  <w:style w:type="character" w:customStyle="1" w:styleId="BalloonTextChar">
    <w:name w:val="Balloon Text Char"/>
    <w:link w:val="BalloonText"/>
    <w:rsid w:val="00556245"/>
    <w:rPr>
      <w:rFonts w:ascii="Lucida Grande" w:hAnsi="Lucida Grande"/>
      <w:sz w:val="18"/>
      <w:szCs w:val="18"/>
      <w:lang w:val="en-GB" w:eastAsia="zh-CN"/>
    </w:rPr>
  </w:style>
  <w:style w:type="character" w:customStyle="1" w:styleId="TitleChar">
    <w:name w:val="Title Char"/>
    <w:link w:val="Title"/>
    <w:rsid w:val="008A2C57"/>
    <w:rPr>
      <w:b/>
      <w:bCs/>
      <w:sz w:val="32"/>
      <w:szCs w:val="32"/>
      <w:lang w:val="en-GB" w:eastAsia="zh-CN"/>
    </w:rPr>
  </w:style>
  <w:style w:type="paragraph" w:styleId="ListParagraph">
    <w:name w:val="List Paragraph"/>
    <w:basedOn w:val="Normal"/>
    <w:uiPriority w:val="34"/>
    <w:qFormat/>
    <w:rsid w:val="00603C30"/>
    <w:pPr>
      <w:ind w:left="720"/>
      <w:contextualSpacing/>
    </w:pPr>
  </w:style>
  <w:style w:type="character" w:styleId="CommentReference">
    <w:name w:val="annotation reference"/>
    <w:basedOn w:val="DefaultParagraphFont"/>
    <w:semiHidden/>
    <w:unhideWhenUsed/>
    <w:rsid w:val="00C20459"/>
    <w:rPr>
      <w:sz w:val="16"/>
      <w:szCs w:val="16"/>
    </w:rPr>
  </w:style>
  <w:style w:type="paragraph" w:styleId="CommentText">
    <w:name w:val="annotation text"/>
    <w:basedOn w:val="Normal"/>
    <w:link w:val="CommentTextChar"/>
    <w:semiHidden/>
    <w:unhideWhenUsed/>
    <w:rsid w:val="00C20459"/>
  </w:style>
  <w:style w:type="character" w:customStyle="1" w:styleId="CommentTextChar">
    <w:name w:val="Comment Text Char"/>
    <w:basedOn w:val="DefaultParagraphFont"/>
    <w:link w:val="CommentText"/>
    <w:semiHidden/>
    <w:rsid w:val="00C20459"/>
  </w:style>
  <w:style w:type="paragraph" w:styleId="CommentSubject">
    <w:name w:val="annotation subject"/>
    <w:basedOn w:val="CommentText"/>
    <w:next w:val="CommentText"/>
    <w:link w:val="CommentSubjectChar"/>
    <w:semiHidden/>
    <w:unhideWhenUsed/>
    <w:rsid w:val="00C20459"/>
    <w:rPr>
      <w:b/>
      <w:bCs/>
    </w:rPr>
  </w:style>
  <w:style w:type="character" w:customStyle="1" w:styleId="CommentSubjectChar">
    <w:name w:val="Comment Subject Char"/>
    <w:basedOn w:val="CommentTextChar"/>
    <w:link w:val="CommentSubject"/>
    <w:semiHidden/>
    <w:rsid w:val="00C20459"/>
    <w:rPr>
      <w:b/>
      <w:bCs/>
    </w:rPr>
  </w:style>
  <w:style w:type="paragraph" w:customStyle="1" w:styleId="Style11ptLinespacing15lines">
    <w:name w:val="Style 11 pt Line spacing:  1.5 lines"/>
    <w:basedOn w:val="Normal"/>
    <w:autoRedefine/>
    <w:rsid w:val="00A9698C"/>
    <w:pPr>
      <w:spacing w:after="240" w:line="276" w:lineRule="auto"/>
    </w:pPr>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5278">
      <w:bodyDiv w:val="1"/>
      <w:marLeft w:val="0"/>
      <w:marRight w:val="0"/>
      <w:marTop w:val="0"/>
      <w:marBottom w:val="0"/>
      <w:divBdr>
        <w:top w:val="none" w:sz="0" w:space="0" w:color="auto"/>
        <w:left w:val="none" w:sz="0" w:space="0" w:color="auto"/>
        <w:bottom w:val="none" w:sz="0" w:space="0" w:color="auto"/>
        <w:right w:val="none" w:sz="0" w:space="0" w:color="auto"/>
      </w:divBdr>
    </w:div>
    <w:div w:id="847257844">
      <w:bodyDiv w:val="1"/>
      <w:marLeft w:val="0"/>
      <w:marRight w:val="0"/>
      <w:marTop w:val="0"/>
      <w:marBottom w:val="0"/>
      <w:divBdr>
        <w:top w:val="none" w:sz="0" w:space="0" w:color="auto"/>
        <w:left w:val="none" w:sz="0" w:space="0" w:color="auto"/>
        <w:bottom w:val="none" w:sz="0" w:space="0" w:color="auto"/>
        <w:right w:val="none" w:sz="0" w:space="0" w:color="auto"/>
      </w:divBdr>
    </w:div>
    <w:div w:id="866257641">
      <w:bodyDiv w:val="1"/>
      <w:marLeft w:val="0"/>
      <w:marRight w:val="0"/>
      <w:marTop w:val="0"/>
      <w:marBottom w:val="0"/>
      <w:divBdr>
        <w:top w:val="none" w:sz="0" w:space="0" w:color="auto"/>
        <w:left w:val="none" w:sz="0" w:space="0" w:color="auto"/>
        <w:bottom w:val="none" w:sz="0" w:space="0" w:color="auto"/>
        <w:right w:val="none" w:sz="0" w:space="0" w:color="auto"/>
      </w:divBdr>
    </w:div>
    <w:div w:id="20280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MTGPA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DB854DA5FF6846AC181E4B4DC72504" ma:contentTypeVersion="7" ma:contentTypeDescription="Create a new document." ma:contentTypeScope="" ma:versionID="355d6de84a325fc24fc683755b4e21fd">
  <xsd:schema xmlns:xsd="http://www.w3.org/2001/XMLSchema" xmlns:xs="http://www.w3.org/2001/XMLSchema" xmlns:p="http://schemas.microsoft.com/office/2006/metadata/properties" xmlns:ns2="eaf0cc94-12ea-41fc-ad33-7d80dcf2f2f5" xmlns:ns3="6fae7977-a74a-4422-9f03-f86cafa90b7b" targetNamespace="http://schemas.microsoft.com/office/2006/metadata/properties" ma:root="true" ma:fieldsID="578757fb5f292f757cb0085fafb94826" ns2:_="" ns3:_="">
    <xsd:import namespace="eaf0cc94-12ea-41fc-ad33-7d80dcf2f2f5"/>
    <xsd:import namespace="6fae7977-a74a-4422-9f03-f86cafa90b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0cc94-12ea-41fc-ad33-7d80dcf2f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e7977-a74a-4422-9f03-f86cafa90b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F1AD2-E259-4034-946D-140D59FB4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872B7-EAF5-40B8-8BBA-A11CA94DEF11}">
  <ds:schemaRefs>
    <ds:schemaRef ds:uri="http://schemas.openxmlformats.org/officeDocument/2006/bibliography"/>
  </ds:schemaRefs>
</ds:datastoreItem>
</file>

<file path=customXml/itemProps3.xml><?xml version="1.0" encoding="utf-8"?>
<ds:datastoreItem xmlns:ds="http://schemas.openxmlformats.org/officeDocument/2006/customXml" ds:itemID="{6F2A44B2-AA46-408A-93DB-1381A2C186F2}">
  <ds:schemaRefs>
    <ds:schemaRef ds:uri="http://schemas.microsoft.com/sharepoint/v3/contenttype/forms"/>
  </ds:schemaRefs>
</ds:datastoreItem>
</file>

<file path=customXml/itemProps4.xml><?xml version="1.0" encoding="utf-8"?>
<ds:datastoreItem xmlns:ds="http://schemas.openxmlformats.org/officeDocument/2006/customXml" ds:itemID="{40655938-597F-4367-AB95-6006309A8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0cc94-12ea-41fc-ad33-7d80dcf2f2f5"/>
    <ds:schemaRef ds:uri="6fae7977-a74a-4422-9f03-f86cafa9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-MTGPART.DOT</Template>
  <TotalTime>2</TotalTime>
  <Pages>6</Pages>
  <Words>1375</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Provisional list of participants - English</vt:lpstr>
    </vt:vector>
  </TitlesOfParts>
  <Company>World Health Organization</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list of participants - English</dc:title>
  <dc:creator>WHO</dc:creator>
  <cp:lastModifiedBy>KOSINSKA, Monika</cp:lastModifiedBy>
  <cp:revision>4</cp:revision>
  <cp:lastPrinted>2021-05-24T07:33:00Z</cp:lastPrinted>
  <dcterms:created xsi:type="dcterms:W3CDTF">2023-04-21T11:12:00Z</dcterms:created>
  <dcterms:modified xsi:type="dcterms:W3CDTF">2023-04-24T07:18:00Z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0x01010043DB854DA5FF6846AC181E4B4DC72504</vt:lpwstr>
  </property>
</Properties>
</file>