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DE0A" w14:textId="335D9BB7" w:rsidR="004A7206" w:rsidRDefault="006A5745" w:rsidP="006A5745">
      <w:pPr>
        <w:jc w:val="center"/>
        <w:rPr>
          <w:b/>
          <w:bCs/>
          <w:lang w:val="en-GB"/>
        </w:rPr>
      </w:pPr>
      <w:r w:rsidRPr="006A5745">
        <w:rPr>
          <w:b/>
          <w:bCs/>
          <w:lang w:val="en-GB"/>
        </w:rPr>
        <w:t>WHO</w:t>
      </w:r>
      <w:r w:rsidR="00E9604A">
        <w:rPr>
          <w:b/>
          <w:bCs/>
          <w:lang w:val="en-GB"/>
        </w:rPr>
        <w:t>/TDR</w:t>
      </w:r>
      <w:r w:rsidRPr="006A5745">
        <w:rPr>
          <w:b/>
          <w:bCs/>
          <w:lang w:val="en-GB"/>
        </w:rPr>
        <w:t xml:space="preserve"> Technical Consultation to update the field manual for Seasonal Malaria Chemoprevention</w:t>
      </w:r>
    </w:p>
    <w:p w14:paraId="2D1D9BAB" w14:textId="4E81FF76" w:rsidR="006A5745" w:rsidRDefault="006A5745" w:rsidP="006A5745">
      <w:pPr>
        <w:jc w:val="center"/>
        <w:rPr>
          <w:b/>
          <w:bCs/>
          <w:lang w:val="en-GB"/>
        </w:rPr>
      </w:pPr>
      <w:r>
        <w:rPr>
          <w:b/>
          <w:bCs/>
          <w:lang w:val="en-GB"/>
        </w:rPr>
        <w:t>Concept Note</w:t>
      </w:r>
    </w:p>
    <w:p w14:paraId="6C32410F" w14:textId="5EF6CB91" w:rsidR="006A5745" w:rsidRDefault="006A5745" w:rsidP="006A5745">
      <w:pPr>
        <w:jc w:val="center"/>
        <w:rPr>
          <w:b/>
          <w:bCs/>
          <w:lang w:val="en-GB"/>
        </w:rPr>
      </w:pPr>
    </w:p>
    <w:p w14:paraId="3CEC61E7" w14:textId="0627D0B3" w:rsidR="006A5745" w:rsidRDefault="00652EB1" w:rsidP="006A5745">
      <w:pPr>
        <w:rPr>
          <w:rFonts w:cstheme="minorHAnsi"/>
          <w:lang w:val="en-GB"/>
        </w:rPr>
      </w:pPr>
      <w:r w:rsidRPr="0041542F">
        <w:rPr>
          <w:rFonts w:cstheme="minorHAnsi"/>
          <w:lang w:val="en-GB"/>
        </w:rPr>
        <w:t xml:space="preserve">The current policy guidance for </w:t>
      </w:r>
      <w:r w:rsidR="00677A93">
        <w:rPr>
          <w:rFonts w:cstheme="minorHAnsi"/>
          <w:lang w:val="en-GB"/>
        </w:rPr>
        <w:t>Seasonal Malaria Chemoprevention (</w:t>
      </w:r>
      <w:r w:rsidRPr="0041542F">
        <w:rPr>
          <w:rFonts w:cstheme="minorHAnsi"/>
          <w:lang w:val="en-GB"/>
        </w:rPr>
        <w:t>SMC</w:t>
      </w:r>
      <w:r w:rsidR="00677A93">
        <w:rPr>
          <w:rFonts w:cstheme="minorHAnsi"/>
          <w:lang w:val="en-GB"/>
        </w:rPr>
        <w:t>)</w:t>
      </w:r>
      <w:r w:rsidRPr="0041542F">
        <w:rPr>
          <w:rFonts w:cstheme="minorHAnsi"/>
          <w:lang w:val="en-GB"/>
        </w:rPr>
        <w:t>, established in 2012, is based on findings from clinical trials and a large-scale effectiveness study conducted between 2002 and 2010. In October 2019, the Global Malaria Programme and the Special Programme for Research and Training in Tropical Diseases convened a technical consultation to review programmatic experiences and more recent research findings.</w:t>
      </w:r>
      <w:r w:rsidR="00481868">
        <w:rPr>
          <w:rFonts w:cstheme="minorHAnsi"/>
          <w:lang w:val="en-GB"/>
        </w:rPr>
        <w:t xml:space="preserve"> The WHO/TDR consultation recommend</w:t>
      </w:r>
      <w:r w:rsidR="000A54A4">
        <w:rPr>
          <w:rFonts w:cstheme="minorHAnsi"/>
          <w:lang w:val="en-GB"/>
        </w:rPr>
        <w:t>ed, w</w:t>
      </w:r>
      <w:r w:rsidR="000A54A4" w:rsidRPr="000A54A4">
        <w:rPr>
          <w:rFonts w:cstheme="minorHAnsi"/>
          <w:lang w:val="en-GB"/>
        </w:rPr>
        <w:t xml:space="preserve">here appropriate, pilot and evaluate adaptations of the SMC strategy to the local context in order to improve impact, ensuring that any modifications are rigorously evaluated under operational conditions, including the use of five cycles in areas where four cycles four weeks apart are not sufficient to protect children throughout the high-transmission period; the inclusion of older children where this is justified by the disease burden; and integration with other relevant strategies, including iCCM and nutritional screening. </w:t>
      </w:r>
    </w:p>
    <w:p w14:paraId="3351B5A8" w14:textId="77777777" w:rsidR="00FE346F" w:rsidRDefault="001B4599" w:rsidP="006A5745">
      <w:pPr>
        <w:rPr>
          <w:rFonts w:cstheme="minorHAnsi"/>
          <w:lang w:val="en-GB"/>
        </w:rPr>
      </w:pPr>
      <w:r>
        <w:rPr>
          <w:rFonts w:cstheme="minorHAnsi"/>
          <w:lang w:val="en-GB"/>
        </w:rPr>
        <w:t xml:space="preserve">In </w:t>
      </w:r>
      <w:r w:rsidR="00677A93">
        <w:rPr>
          <w:rFonts w:cstheme="minorHAnsi"/>
          <w:lang w:val="en-GB"/>
        </w:rPr>
        <w:t xml:space="preserve">June 2022 WHO </w:t>
      </w:r>
      <w:r w:rsidR="00462862">
        <w:rPr>
          <w:rFonts w:cstheme="minorHAnsi"/>
          <w:lang w:val="en-GB"/>
        </w:rPr>
        <w:t>updated the Guidelines for Malaria (</w:t>
      </w:r>
      <w:hyperlink r:id="rId5" w:history="1">
        <w:r w:rsidR="00462862" w:rsidRPr="007F2784">
          <w:rPr>
            <w:rStyle w:val="Hyperlink"/>
            <w:rFonts w:cstheme="minorHAnsi"/>
            <w:lang w:val="en-GB"/>
          </w:rPr>
          <w:t>https://apps.who.int/iris/rest/bitstreams/1427681/retrieve</w:t>
        </w:r>
      </w:hyperlink>
      <w:r w:rsidR="00462862">
        <w:rPr>
          <w:rFonts w:cstheme="minorHAnsi"/>
          <w:lang w:val="en-GB"/>
        </w:rPr>
        <w:t xml:space="preserve">) and </w:t>
      </w:r>
      <w:r w:rsidR="00677A93">
        <w:rPr>
          <w:rFonts w:cstheme="minorHAnsi"/>
          <w:lang w:val="en-GB"/>
        </w:rPr>
        <w:t>issue</w:t>
      </w:r>
      <w:r w:rsidR="00462862">
        <w:rPr>
          <w:rFonts w:cstheme="minorHAnsi"/>
          <w:lang w:val="en-GB"/>
        </w:rPr>
        <w:t xml:space="preserve">d the following </w:t>
      </w:r>
      <w:r w:rsidR="00677A93">
        <w:rPr>
          <w:rFonts w:cstheme="minorHAnsi"/>
          <w:lang w:val="en-GB"/>
        </w:rPr>
        <w:t>new recommendation on SMC</w:t>
      </w:r>
      <w:r w:rsidR="00E651E6">
        <w:rPr>
          <w:rFonts w:cstheme="minorHAnsi"/>
          <w:lang w:val="en-GB"/>
        </w:rPr>
        <w:t xml:space="preserve">, as follows: </w:t>
      </w:r>
      <w:r w:rsidR="00677A93">
        <w:rPr>
          <w:rFonts w:cstheme="minorHAnsi"/>
          <w:lang w:val="en-GB"/>
        </w:rPr>
        <w:t xml:space="preserve"> </w:t>
      </w:r>
      <w:r w:rsidR="00E651E6">
        <w:rPr>
          <w:rFonts w:cstheme="minorHAnsi"/>
          <w:lang w:val="en-GB"/>
        </w:rPr>
        <w:t>“</w:t>
      </w:r>
      <w:r w:rsidR="000041FB" w:rsidRPr="000041FB">
        <w:rPr>
          <w:rFonts w:cstheme="minorHAnsi"/>
          <w:lang w:val="en-GB"/>
        </w:rPr>
        <w:t>In areas of seasonal malaria transmission, children belonging to age groups at high risk of severe malaria should be given antimalarial medicines during peak malaria transmission seasons to reduce disease burden.</w:t>
      </w:r>
      <w:r w:rsidR="00E651E6">
        <w:rPr>
          <w:rFonts w:cstheme="minorHAnsi"/>
          <w:lang w:val="en-GB"/>
        </w:rPr>
        <w:t xml:space="preserve">”  </w:t>
      </w:r>
      <w:r w:rsidR="00462862">
        <w:rPr>
          <w:rFonts w:cstheme="minorHAnsi"/>
          <w:lang w:val="en-GB"/>
        </w:rPr>
        <w:t xml:space="preserve">As written </w:t>
      </w:r>
      <w:r w:rsidR="00462862" w:rsidRPr="00462862">
        <w:rPr>
          <w:rFonts w:cstheme="minorHAnsi"/>
          <w:i/>
          <w:iCs/>
          <w:lang w:val="en-GB"/>
        </w:rPr>
        <w:t>verbatim</w:t>
      </w:r>
      <w:r w:rsidR="00462862">
        <w:rPr>
          <w:rFonts w:cstheme="minorHAnsi"/>
          <w:lang w:val="en-GB"/>
        </w:rPr>
        <w:t xml:space="preserve"> in </w:t>
      </w:r>
      <w:r w:rsidR="00665E1F">
        <w:rPr>
          <w:rFonts w:cstheme="minorHAnsi"/>
          <w:lang w:val="en-GB"/>
        </w:rPr>
        <w:t xml:space="preserve">new WHO malaria </w:t>
      </w:r>
      <w:r w:rsidR="00B66B2B">
        <w:rPr>
          <w:rFonts w:cstheme="minorHAnsi"/>
          <w:lang w:val="en-GB"/>
        </w:rPr>
        <w:t xml:space="preserve">guidelines </w:t>
      </w:r>
      <w:r w:rsidR="00462862">
        <w:rPr>
          <w:rFonts w:cstheme="minorHAnsi"/>
          <w:lang w:val="en-GB"/>
        </w:rPr>
        <w:t>“</w:t>
      </w:r>
      <w:r w:rsidR="00462862" w:rsidRPr="00462862">
        <w:rPr>
          <w:rFonts w:cstheme="minorHAnsi"/>
          <w:lang w:val="en-GB"/>
        </w:rPr>
        <w:t>The updated chemoprevention recommendations reflect the paradigm shift, outlined in the introduction, to provide greater flexibility to NMPs to adapt control strategies to suit their settings. Standard processes have been used to develop evidence-based recommendations which are not unduly restrictive. We no longer specify strict age groups, transmission intensity thresholds, numbers of doses or cycles, or specific drugs. The effectiveness of a chemoprevention programme will be influenced by a host of contextual and other factors (e.g. intensity of malaria transmission, extent of seasonal variation in transmission, the age group targeted by the chemoprevention programme, the preventive efficacy of the drugs used, the frequency of dosing, duration of protection of each treatment course, availability of drugs, coverage achieved, adherence to the recommended regimen) and by the mix of interventions being deployed in each setting. NMPs are therefore encouraged to consider local data to determine how best to tailor</w:t>
      </w:r>
      <w:r w:rsidR="00462862">
        <w:rPr>
          <w:rFonts w:cstheme="minorHAnsi"/>
          <w:lang w:val="en-GB"/>
        </w:rPr>
        <w:t xml:space="preserve">.”  </w:t>
      </w:r>
      <w:r w:rsidR="00FE346F">
        <w:rPr>
          <w:rFonts w:cstheme="minorHAnsi"/>
          <w:lang w:val="en-GB"/>
        </w:rPr>
        <w:t>For implementation of SMC the new guidelines in the section “Practical Info” (page 94) refer to the document “</w:t>
      </w:r>
      <w:r w:rsidR="00FE346F" w:rsidRPr="00FE346F">
        <w:rPr>
          <w:rFonts w:cstheme="minorHAnsi"/>
          <w:lang w:val="en-GB"/>
        </w:rPr>
        <w:t>Seasonal malaria chemoprevention with sulfadoxine–pyrimethamine plus amodiaquine in children: a field guide</w:t>
      </w:r>
      <w:r w:rsidR="00FE346F">
        <w:rPr>
          <w:rFonts w:cstheme="minorHAnsi"/>
          <w:lang w:val="en-GB"/>
        </w:rPr>
        <w:t xml:space="preserve">”, published in July 2013 </w:t>
      </w:r>
      <w:hyperlink r:id="rId6" w:history="1">
        <w:r w:rsidR="00FE346F" w:rsidRPr="007F2784">
          <w:rPr>
            <w:rStyle w:val="Hyperlink"/>
            <w:rFonts w:cstheme="minorHAnsi"/>
            <w:lang w:val="en-GB"/>
          </w:rPr>
          <w:t>https://apps.who.int/iris/bitstream/handle/10665/85726/9789241504737_eng.pdf?sequence=1&amp;isAllowed=y</w:t>
        </w:r>
      </w:hyperlink>
      <w:r w:rsidR="00FE346F">
        <w:rPr>
          <w:rFonts w:cstheme="minorHAnsi"/>
          <w:lang w:val="en-GB"/>
        </w:rPr>
        <w:t xml:space="preserve">. </w:t>
      </w:r>
    </w:p>
    <w:p w14:paraId="02FE71E8" w14:textId="1A7344D3" w:rsidR="001B4599" w:rsidRDefault="00FE346F" w:rsidP="006A5745">
      <w:pPr>
        <w:rPr>
          <w:rFonts w:cstheme="minorHAnsi"/>
          <w:lang w:val="en-GB"/>
        </w:rPr>
      </w:pPr>
      <w:r>
        <w:rPr>
          <w:rFonts w:cstheme="minorHAnsi"/>
          <w:lang w:val="en-GB"/>
        </w:rPr>
        <w:t xml:space="preserve">The </w:t>
      </w:r>
      <w:r w:rsidR="00316588">
        <w:rPr>
          <w:rFonts w:cstheme="minorHAnsi"/>
          <w:lang w:val="en-GB"/>
        </w:rPr>
        <w:t xml:space="preserve">existing </w:t>
      </w:r>
      <w:r>
        <w:rPr>
          <w:rFonts w:cstheme="minorHAnsi"/>
          <w:lang w:val="en-GB"/>
        </w:rPr>
        <w:t>implementation field guide needs to be update</w:t>
      </w:r>
      <w:r w:rsidR="007B16D5">
        <w:rPr>
          <w:rFonts w:cstheme="minorHAnsi"/>
          <w:lang w:val="en-GB"/>
        </w:rPr>
        <w:t>d</w:t>
      </w:r>
      <w:r>
        <w:rPr>
          <w:rFonts w:cstheme="minorHAnsi"/>
          <w:lang w:val="en-GB"/>
        </w:rPr>
        <w:t xml:space="preserve"> to align with the </w:t>
      </w:r>
      <w:r w:rsidR="006801F8">
        <w:rPr>
          <w:rFonts w:cstheme="minorHAnsi"/>
          <w:lang w:val="en-GB"/>
        </w:rPr>
        <w:t xml:space="preserve">new WHO recommendations, in particular </w:t>
      </w:r>
      <w:r w:rsidR="003F48D9">
        <w:rPr>
          <w:rFonts w:cstheme="minorHAnsi"/>
          <w:lang w:val="en-GB"/>
        </w:rPr>
        <w:t xml:space="preserve">the document should </w:t>
      </w:r>
      <w:r w:rsidR="006801F8">
        <w:rPr>
          <w:rFonts w:cstheme="minorHAnsi"/>
          <w:lang w:val="en-GB"/>
        </w:rPr>
        <w:t xml:space="preserve">provide clear criteria for NMCP to decide </w:t>
      </w:r>
      <w:r w:rsidR="00D96DCF">
        <w:rPr>
          <w:rFonts w:cstheme="minorHAnsi"/>
          <w:lang w:val="en-GB"/>
        </w:rPr>
        <w:t xml:space="preserve">on the target </w:t>
      </w:r>
      <w:r w:rsidR="00D96DCF" w:rsidRPr="00D96DCF">
        <w:rPr>
          <w:rFonts w:cstheme="minorHAnsi"/>
          <w:lang w:val="en-GB"/>
        </w:rPr>
        <w:t>age groups, transmission intensity thresholds, numbers of doses or cycles, or specific drugs</w:t>
      </w:r>
      <w:r w:rsidR="00D96DCF">
        <w:rPr>
          <w:rFonts w:cstheme="minorHAnsi"/>
          <w:lang w:val="en-GB"/>
        </w:rPr>
        <w:t xml:space="preserve">.   The </w:t>
      </w:r>
      <w:r w:rsidR="004D1B1D">
        <w:rPr>
          <w:rFonts w:cstheme="minorHAnsi"/>
          <w:lang w:val="en-GB"/>
        </w:rPr>
        <w:t xml:space="preserve">field manual should also </w:t>
      </w:r>
      <w:r w:rsidR="002B7188">
        <w:rPr>
          <w:rFonts w:cstheme="minorHAnsi"/>
          <w:lang w:val="en-GB"/>
        </w:rPr>
        <w:t xml:space="preserve">indicate </w:t>
      </w:r>
      <w:r w:rsidR="007B16D5">
        <w:rPr>
          <w:rFonts w:cstheme="minorHAnsi"/>
          <w:lang w:val="en-GB"/>
        </w:rPr>
        <w:t xml:space="preserve">potential </w:t>
      </w:r>
      <w:r w:rsidR="004D1B1D">
        <w:rPr>
          <w:rFonts w:cstheme="minorHAnsi"/>
          <w:lang w:val="en-GB"/>
        </w:rPr>
        <w:t xml:space="preserve">sources of </w:t>
      </w:r>
      <w:r w:rsidR="00137A9E">
        <w:rPr>
          <w:rFonts w:cstheme="minorHAnsi"/>
          <w:lang w:val="en-GB"/>
        </w:rPr>
        <w:t xml:space="preserve">local </w:t>
      </w:r>
      <w:r w:rsidR="004D1B1D">
        <w:rPr>
          <w:rFonts w:cstheme="minorHAnsi"/>
          <w:lang w:val="en-GB"/>
        </w:rPr>
        <w:t xml:space="preserve">data, including proxy indicators, based on which </w:t>
      </w:r>
      <w:r w:rsidR="002B7188">
        <w:rPr>
          <w:rFonts w:cstheme="minorHAnsi"/>
          <w:lang w:val="en-GB"/>
        </w:rPr>
        <w:t xml:space="preserve">NMCP </w:t>
      </w:r>
      <w:r w:rsidR="00137A9E">
        <w:rPr>
          <w:rFonts w:cstheme="minorHAnsi"/>
          <w:lang w:val="en-GB"/>
        </w:rPr>
        <w:t xml:space="preserve">decisions </w:t>
      </w:r>
      <w:r w:rsidR="004D1B1D">
        <w:rPr>
          <w:rFonts w:cstheme="minorHAnsi"/>
          <w:lang w:val="en-GB"/>
        </w:rPr>
        <w:t xml:space="preserve">can be </w:t>
      </w:r>
      <w:r w:rsidR="00137A9E">
        <w:rPr>
          <w:rFonts w:cstheme="minorHAnsi"/>
          <w:lang w:val="en-GB"/>
        </w:rPr>
        <w:t xml:space="preserve">made, taking in consideration </w:t>
      </w:r>
      <w:r w:rsidR="002B7188">
        <w:rPr>
          <w:rFonts w:cstheme="minorHAnsi"/>
          <w:lang w:val="en-GB"/>
        </w:rPr>
        <w:t xml:space="preserve">relevant </w:t>
      </w:r>
      <w:r w:rsidR="001D6208">
        <w:rPr>
          <w:rFonts w:cstheme="minorHAnsi"/>
          <w:lang w:val="en-GB"/>
        </w:rPr>
        <w:t xml:space="preserve">contextual factors. </w:t>
      </w:r>
      <w:r w:rsidR="00E86AD5">
        <w:rPr>
          <w:rFonts w:cstheme="minorHAnsi"/>
          <w:lang w:val="en-GB"/>
        </w:rPr>
        <w:t xml:space="preserve">  </w:t>
      </w:r>
      <w:r w:rsidR="00275E88">
        <w:rPr>
          <w:rFonts w:cstheme="minorHAnsi"/>
          <w:lang w:val="en-GB"/>
        </w:rPr>
        <w:t xml:space="preserve">A new draft version of the SMC field implementation manual was developed following WHO/TDR Consultation in October 2019, </w:t>
      </w:r>
      <w:r w:rsidR="00003DBB">
        <w:rPr>
          <w:rFonts w:cstheme="minorHAnsi"/>
          <w:lang w:val="en-GB"/>
        </w:rPr>
        <w:t xml:space="preserve">and it will </w:t>
      </w:r>
      <w:r w:rsidR="00C504B5">
        <w:rPr>
          <w:rFonts w:cstheme="minorHAnsi"/>
          <w:lang w:val="en-GB"/>
        </w:rPr>
        <w:t xml:space="preserve">serve as the basis for developing the new version of the </w:t>
      </w:r>
      <w:r w:rsidR="000A0F98">
        <w:rPr>
          <w:rFonts w:cstheme="minorHAnsi"/>
          <w:lang w:val="en-GB"/>
        </w:rPr>
        <w:t xml:space="preserve">field manual aligned with the </w:t>
      </w:r>
      <w:r w:rsidR="007C0923">
        <w:rPr>
          <w:rFonts w:cstheme="minorHAnsi"/>
          <w:lang w:val="en-GB"/>
        </w:rPr>
        <w:t>WHO recommendations</w:t>
      </w:r>
      <w:r w:rsidR="00D53FBE">
        <w:rPr>
          <w:rFonts w:cstheme="minorHAnsi"/>
          <w:lang w:val="en-GB"/>
        </w:rPr>
        <w:t xml:space="preserve"> on SMC </w:t>
      </w:r>
      <w:r w:rsidR="007C0923">
        <w:rPr>
          <w:rFonts w:cstheme="minorHAnsi"/>
          <w:lang w:val="en-GB"/>
        </w:rPr>
        <w:t xml:space="preserve">released in 2022. </w:t>
      </w:r>
    </w:p>
    <w:p w14:paraId="5BA564DC" w14:textId="28D78554" w:rsidR="009D1E93" w:rsidRDefault="009D1E93" w:rsidP="006A5745">
      <w:pPr>
        <w:rPr>
          <w:rFonts w:cstheme="minorHAnsi"/>
          <w:lang w:val="en-GB"/>
        </w:rPr>
      </w:pPr>
      <w:r>
        <w:rPr>
          <w:rFonts w:cstheme="minorHAnsi"/>
          <w:lang w:val="en-GB"/>
        </w:rPr>
        <w:lastRenderedPageBreak/>
        <w:t xml:space="preserve">The key </w:t>
      </w:r>
      <w:r w:rsidR="00A94FBA">
        <w:rPr>
          <w:rFonts w:cstheme="minorHAnsi"/>
          <w:lang w:val="en-GB"/>
        </w:rPr>
        <w:t xml:space="preserve">sections </w:t>
      </w:r>
      <w:r w:rsidR="00E3212E">
        <w:rPr>
          <w:rFonts w:cstheme="minorHAnsi"/>
          <w:lang w:val="en-GB"/>
        </w:rPr>
        <w:t xml:space="preserve">of </w:t>
      </w:r>
      <w:r w:rsidR="00A94FBA">
        <w:rPr>
          <w:rFonts w:cstheme="minorHAnsi"/>
          <w:lang w:val="en-GB"/>
        </w:rPr>
        <w:t xml:space="preserve">the </w:t>
      </w:r>
      <w:r w:rsidR="00A94FBA" w:rsidRPr="00FE346F">
        <w:rPr>
          <w:rFonts w:cstheme="minorHAnsi"/>
          <w:lang w:val="en-GB"/>
        </w:rPr>
        <w:t>Seasonal malaria chemoprevention with sulfadoxine–pyrimethamine plus amodiaquine in children: a field guide</w:t>
      </w:r>
      <w:r w:rsidR="00A94FBA">
        <w:rPr>
          <w:rFonts w:cstheme="minorHAnsi"/>
          <w:lang w:val="en-GB"/>
        </w:rPr>
        <w:t>”, published in July 2013</w:t>
      </w:r>
      <w:r w:rsidR="00E3212E" w:rsidRPr="00E3212E">
        <w:rPr>
          <w:rFonts w:cstheme="minorHAnsi"/>
          <w:lang w:val="en-GB"/>
        </w:rPr>
        <w:t xml:space="preserve"> </w:t>
      </w:r>
      <w:r w:rsidR="00E3212E">
        <w:rPr>
          <w:rFonts w:cstheme="minorHAnsi"/>
          <w:lang w:val="en-GB"/>
        </w:rPr>
        <w:t xml:space="preserve">which need updating include the following:  </w:t>
      </w:r>
    </w:p>
    <w:p w14:paraId="6F229F7C" w14:textId="4A65C352" w:rsidR="005A43FF" w:rsidRDefault="00D83DB5" w:rsidP="00AC65D9">
      <w:pPr>
        <w:pStyle w:val="ListParagraph"/>
        <w:numPr>
          <w:ilvl w:val="0"/>
          <w:numId w:val="2"/>
        </w:numPr>
        <w:rPr>
          <w:lang w:val="en-GB"/>
        </w:rPr>
      </w:pPr>
      <w:r>
        <w:rPr>
          <w:lang w:val="en-GB"/>
        </w:rPr>
        <w:t>Criteria for d</w:t>
      </w:r>
      <w:r w:rsidR="00BB4834">
        <w:rPr>
          <w:lang w:val="en-GB"/>
        </w:rPr>
        <w:t xml:space="preserve">efinition of seasonality, peak transmission season in relation to </w:t>
      </w:r>
      <w:r w:rsidR="003B1254">
        <w:rPr>
          <w:lang w:val="en-GB"/>
        </w:rPr>
        <w:t>timing of the SMC campaigns</w:t>
      </w:r>
      <w:r w:rsidR="00820EA7">
        <w:rPr>
          <w:lang w:val="en-GB"/>
        </w:rPr>
        <w:t xml:space="preserve"> and data sources (</w:t>
      </w:r>
      <w:r w:rsidR="00BD2443">
        <w:rPr>
          <w:lang w:val="en-GB"/>
        </w:rPr>
        <w:t xml:space="preserve">e.g. </w:t>
      </w:r>
      <w:r w:rsidR="00820EA7">
        <w:rPr>
          <w:lang w:val="en-GB"/>
        </w:rPr>
        <w:t>rainf</w:t>
      </w:r>
      <w:r w:rsidR="00BD2443">
        <w:rPr>
          <w:lang w:val="en-GB"/>
        </w:rPr>
        <w:t>a</w:t>
      </w:r>
      <w:r w:rsidR="00820EA7">
        <w:rPr>
          <w:lang w:val="en-GB"/>
        </w:rPr>
        <w:t>ll</w:t>
      </w:r>
      <w:r w:rsidR="00BD2443">
        <w:rPr>
          <w:lang w:val="en-GB"/>
        </w:rPr>
        <w:t xml:space="preserve"> and </w:t>
      </w:r>
      <w:r w:rsidR="0037103F">
        <w:rPr>
          <w:lang w:val="en-GB"/>
        </w:rPr>
        <w:t>case-based malaria surveillance)</w:t>
      </w:r>
    </w:p>
    <w:p w14:paraId="1698E60F" w14:textId="1F636C77" w:rsidR="00251066" w:rsidRDefault="00D83DB5" w:rsidP="00AC65D9">
      <w:pPr>
        <w:pStyle w:val="ListParagraph"/>
        <w:numPr>
          <w:ilvl w:val="0"/>
          <w:numId w:val="2"/>
        </w:numPr>
        <w:rPr>
          <w:lang w:val="en-GB"/>
        </w:rPr>
      </w:pPr>
      <w:r>
        <w:rPr>
          <w:lang w:val="en-GB"/>
        </w:rPr>
        <w:t>Criteria for s</w:t>
      </w:r>
      <w:r w:rsidR="00175670">
        <w:rPr>
          <w:lang w:val="en-GB"/>
        </w:rPr>
        <w:t>tart and end of SM campaigns</w:t>
      </w:r>
      <w:r w:rsidR="004C4A1E">
        <w:rPr>
          <w:lang w:val="en-GB"/>
        </w:rPr>
        <w:t xml:space="preserve"> and number of monthly treatment cycles </w:t>
      </w:r>
      <w:r w:rsidR="00251066">
        <w:rPr>
          <w:lang w:val="en-GB"/>
        </w:rPr>
        <w:t>(3-5) in relation to seasonality of transmission</w:t>
      </w:r>
    </w:p>
    <w:p w14:paraId="5B347ACC" w14:textId="7644C6E8" w:rsidR="00986AA5" w:rsidRDefault="00986AA5" w:rsidP="00AC65D9">
      <w:pPr>
        <w:pStyle w:val="ListParagraph"/>
        <w:numPr>
          <w:ilvl w:val="0"/>
          <w:numId w:val="2"/>
        </w:numPr>
        <w:rPr>
          <w:lang w:val="en-GB"/>
        </w:rPr>
      </w:pPr>
      <w:r>
        <w:rPr>
          <w:lang w:val="en-GB"/>
        </w:rPr>
        <w:t>Where to implement SMC</w:t>
      </w:r>
      <w:r w:rsidR="008C212F">
        <w:rPr>
          <w:lang w:val="en-GB"/>
        </w:rPr>
        <w:t xml:space="preserve"> in relation to rainfall and seasonality</w:t>
      </w:r>
      <w:r>
        <w:rPr>
          <w:lang w:val="en-GB"/>
        </w:rPr>
        <w:t>, including specific adaptations for urban/sub-urban areas</w:t>
      </w:r>
    </w:p>
    <w:p w14:paraId="5FFE4CB5" w14:textId="39E093AD" w:rsidR="003B1254" w:rsidRDefault="00B0034F" w:rsidP="00AC65D9">
      <w:pPr>
        <w:pStyle w:val="ListParagraph"/>
        <w:numPr>
          <w:ilvl w:val="0"/>
          <w:numId w:val="2"/>
        </w:numPr>
        <w:rPr>
          <w:lang w:val="en-GB"/>
        </w:rPr>
      </w:pPr>
      <w:r>
        <w:rPr>
          <w:lang w:val="en-GB"/>
        </w:rPr>
        <w:t>When to extend to older children (5-10 years old)</w:t>
      </w:r>
      <w:r w:rsidR="008235B6">
        <w:rPr>
          <w:lang w:val="en-GB"/>
        </w:rPr>
        <w:t xml:space="preserve"> and data sources on high risk of severe malaria in this age-group to guide decisions</w:t>
      </w:r>
    </w:p>
    <w:p w14:paraId="716D3352" w14:textId="49A52B41" w:rsidR="00F96637" w:rsidRDefault="00F96637" w:rsidP="00AC65D9">
      <w:pPr>
        <w:pStyle w:val="ListParagraph"/>
        <w:numPr>
          <w:ilvl w:val="0"/>
          <w:numId w:val="2"/>
        </w:numPr>
        <w:rPr>
          <w:lang w:val="en-GB"/>
        </w:rPr>
      </w:pPr>
      <w:r>
        <w:rPr>
          <w:lang w:val="en-GB"/>
        </w:rPr>
        <w:t>Dosage and appropriate course-of-therapy pa</w:t>
      </w:r>
      <w:r w:rsidR="008A2BD9">
        <w:rPr>
          <w:lang w:val="en-GB"/>
        </w:rPr>
        <w:t>cks for amodiaquine plus sulfadoxine-pyrimethamine in children above 5 years of age</w:t>
      </w:r>
    </w:p>
    <w:p w14:paraId="33360167" w14:textId="6CD230C5" w:rsidR="00B46507" w:rsidRDefault="00B46507" w:rsidP="00AC65D9">
      <w:pPr>
        <w:pStyle w:val="ListParagraph"/>
        <w:numPr>
          <w:ilvl w:val="0"/>
          <w:numId w:val="2"/>
        </w:numPr>
        <w:rPr>
          <w:lang w:val="en-GB"/>
        </w:rPr>
      </w:pPr>
      <w:r>
        <w:rPr>
          <w:lang w:val="en-GB"/>
        </w:rPr>
        <w:t xml:space="preserve">When to consider alternative </w:t>
      </w:r>
      <w:r w:rsidR="00CC2D4E">
        <w:rPr>
          <w:lang w:val="en-GB"/>
        </w:rPr>
        <w:t xml:space="preserve">antimalarial medicines </w:t>
      </w:r>
      <w:r>
        <w:rPr>
          <w:lang w:val="en-GB"/>
        </w:rPr>
        <w:t>to amodiaquine</w:t>
      </w:r>
      <w:r w:rsidR="00CC2D4E">
        <w:rPr>
          <w:lang w:val="en-GB"/>
        </w:rPr>
        <w:t xml:space="preserve"> plus sulfadoxine-pyrimethamine, based on the results of the </w:t>
      </w:r>
      <w:r w:rsidR="00D95B24">
        <w:rPr>
          <w:lang w:val="en-GB"/>
        </w:rPr>
        <w:t>m</w:t>
      </w:r>
      <w:r w:rsidR="00D95B24" w:rsidRPr="00D95B24">
        <w:rPr>
          <w:lang w:val="en-GB"/>
        </w:rPr>
        <w:t xml:space="preserve">alaria chemoprevention efficacy study </w:t>
      </w:r>
      <w:r w:rsidR="00D95B24">
        <w:rPr>
          <w:lang w:val="en-GB"/>
        </w:rPr>
        <w:t xml:space="preserve">(CPES) </w:t>
      </w:r>
      <w:r w:rsidR="00D95B24" w:rsidRPr="00D95B24">
        <w:rPr>
          <w:lang w:val="en-GB"/>
        </w:rPr>
        <w:t xml:space="preserve">protocol </w:t>
      </w:r>
    </w:p>
    <w:p w14:paraId="441E4BC6" w14:textId="57E6E60C" w:rsidR="005F4E0A" w:rsidRDefault="0059522B" w:rsidP="00AC65D9">
      <w:pPr>
        <w:pStyle w:val="ListParagraph"/>
        <w:numPr>
          <w:ilvl w:val="0"/>
          <w:numId w:val="2"/>
        </w:numPr>
        <w:rPr>
          <w:lang w:val="en-GB"/>
        </w:rPr>
      </w:pPr>
      <w:r>
        <w:rPr>
          <w:lang w:val="en-GB"/>
        </w:rPr>
        <w:t xml:space="preserve">How </w:t>
      </w:r>
      <w:r w:rsidR="00760C70">
        <w:rPr>
          <w:lang w:val="en-GB"/>
        </w:rPr>
        <w:t xml:space="preserve">implement SMC with </w:t>
      </w:r>
      <w:r w:rsidR="003A54D4">
        <w:rPr>
          <w:lang w:val="en-GB"/>
        </w:rPr>
        <w:t>d</w:t>
      </w:r>
      <w:r w:rsidR="008C224F">
        <w:rPr>
          <w:lang w:val="en-GB"/>
        </w:rPr>
        <w:t xml:space="preserve">ifferent </w:t>
      </w:r>
      <w:r w:rsidR="003A54D4">
        <w:rPr>
          <w:lang w:val="en-GB"/>
        </w:rPr>
        <w:t xml:space="preserve">delivery </w:t>
      </w:r>
      <w:r w:rsidR="00C530F6">
        <w:rPr>
          <w:lang w:val="en-GB"/>
        </w:rPr>
        <w:t>systems, including adaptations to minimize SARS-CoV-2 transmission</w:t>
      </w:r>
    </w:p>
    <w:p w14:paraId="3109BDAC" w14:textId="208024B8" w:rsidR="00673078" w:rsidRPr="005F4E0A" w:rsidRDefault="00760C70" w:rsidP="00AC65D9">
      <w:pPr>
        <w:pStyle w:val="ListParagraph"/>
        <w:numPr>
          <w:ilvl w:val="0"/>
          <w:numId w:val="2"/>
        </w:numPr>
      </w:pPr>
      <w:r>
        <w:rPr>
          <w:lang w:val="en-GB"/>
        </w:rPr>
        <w:t xml:space="preserve">How to implement SM as </w:t>
      </w:r>
      <w:r w:rsidR="00C530F6">
        <w:rPr>
          <w:lang w:val="en-GB"/>
        </w:rPr>
        <w:t xml:space="preserve">integrated </w:t>
      </w:r>
      <w:r w:rsidR="00344C40">
        <w:rPr>
          <w:lang w:val="en-GB"/>
        </w:rPr>
        <w:t>campaigns (nutrition</w:t>
      </w:r>
      <w:r w:rsidR="00126F1B">
        <w:rPr>
          <w:lang w:val="en-GB"/>
        </w:rPr>
        <w:t>, iCCM, NTD etc)</w:t>
      </w:r>
      <w:r w:rsidR="00673078">
        <w:rPr>
          <w:lang w:val="en-GB"/>
        </w:rPr>
        <w:t xml:space="preserve"> and </w:t>
      </w:r>
      <w:r>
        <w:rPr>
          <w:lang w:val="en-GB"/>
        </w:rPr>
        <w:t xml:space="preserve">how to deliver in synchrony </w:t>
      </w:r>
      <w:r w:rsidR="006E2A7F">
        <w:rPr>
          <w:lang w:val="en-GB"/>
        </w:rPr>
        <w:t>when c</w:t>
      </w:r>
      <w:r w:rsidR="00673078">
        <w:t>ombin</w:t>
      </w:r>
      <w:r w:rsidR="006E2A7F">
        <w:t xml:space="preserve">ed </w:t>
      </w:r>
      <w:r w:rsidR="00673078">
        <w:t xml:space="preserve">with </w:t>
      </w:r>
      <w:r w:rsidR="00673078" w:rsidRPr="005F4E0A">
        <w:t>RTSS malaria vacc</w:t>
      </w:r>
      <w:r w:rsidR="00673078">
        <w:t>ination</w:t>
      </w:r>
    </w:p>
    <w:p w14:paraId="3CD15254" w14:textId="06A074DC" w:rsidR="00093238" w:rsidRDefault="00A86AE5" w:rsidP="00AC65D9">
      <w:pPr>
        <w:pStyle w:val="ListParagraph"/>
        <w:numPr>
          <w:ilvl w:val="0"/>
          <w:numId w:val="2"/>
        </w:numPr>
        <w:rPr>
          <w:lang w:val="en-GB"/>
        </w:rPr>
      </w:pPr>
      <w:r>
        <w:rPr>
          <w:lang w:val="en-GB"/>
        </w:rPr>
        <w:t>Updating the e</w:t>
      </w:r>
      <w:r w:rsidR="00093238">
        <w:rPr>
          <w:lang w:val="en-GB"/>
        </w:rPr>
        <w:t xml:space="preserve">vidence of impact </w:t>
      </w:r>
      <w:r>
        <w:rPr>
          <w:lang w:val="en-GB"/>
        </w:rPr>
        <w:t xml:space="preserve">based on </w:t>
      </w:r>
      <w:r w:rsidR="00093238">
        <w:rPr>
          <w:lang w:val="en-GB"/>
        </w:rPr>
        <w:t xml:space="preserve">large-scale </w:t>
      </w:r>
      <w:r w:rsidR="00126F1B">
        <w:rPr>
          <w:lang w:val="en-GB"/>
        </w:rPr>
        <w:t xml:space="preserve">SMC </w:t>
      </w:r>
      <w:r w:rsidR="00093238">
        <w:rPr>
          <w:lang w:val="en-GB"/>
        </w:rPr>
        <w:t xml:space="preserve">implementation </w:t>
      </w:r>
      <w:r w:rsidR="00B24FB0">
        <w:rPr>
          <w:lang w:val="en-GB"/>
        </w:rPr>
        <w:t xml:space="preserve">programs </w:t>
      </w:r>
      <w:r w:rsidR="00123B0B">
        <w:rPr>
          <w:lang w:val="en-GB"/>
        </w:rPr>
        <w:t xml:space="preserve">as per recent publications </w:t>
      </w:r>
    </w:p>
    <w:p w14:paraId="638837CB" w14:textId="196578EA" w:rsidR="00D95B24" w:rsidRDefault="007A35C8" w:rsidP="00AC65D9">
      <w:pPr>
        <w:pStyle w:val="ListParagraph"/>
        <w:numPr>
          <w:ilvl w:val="0"/>
          <w:numId w:val="2"/>
        </w:numPr>
        <w:rPr>
          <w:lang w:val="en-GB"/>
        </w:rPr>
      </w:pPr>
      <w:r>
        <w:rPr>
          <w:lang w:val="en-GB"/>
        </w:rPr>
        <w:t>Selection of d</w:t>
      </w:r>
      <w:r w:rsidR="00544120" w:rsidRPr="00051420">
        <w:rPr>
          <w:lang w:val="en-GB"/>
        </w:rPr>
        <w:t>ata, indicators and m</w:t>
      </w:r>
      <w:r w:rsidR="008C224F" w:rsidRPr="00051420">
        <w:rPr>
          <w:lang w:val="en-GB"/>
        </w:rPr>
        <w:t xml:space="preserve">onitoring </w:t>
      </w:r>
      <w:r w:rsidR="00544120" w:rsidRPr="00051420">
        <w:rPr>
          <w:lang w:val="en-GB"/>
        </w:rPr>
        <w:t xml:space="preserve">systems </w:t>
      </w:r>
      <w:r w:rsidR="008C224F" w:rsidRPr="00051420">
        <w:rPr>
          <w:lang w:val="en-GB"/>
        </w:rPr>
        <w:t xml:space="preserve">to </w:t>
      </w:r>
      <w:r w:rsidR="005B078E" w:rsidRPr="00051420">
        <w:rPr>
          <w:lang w:val="en-GB"/>
        </w:rPr>
        <w:t>strengthen the</w:t>
      </w:r>
      <w:r w:rsidR="00DB2DA5" w:rsidRPr="00051420">
        <w:rPr>
          <w:lang w:val="en-GB"/>
        </w:rPr>
        <w:t xml:space="preserve"> evaluation of SMC</w:t>
      </w:r>
      <w:r w:rsidR="00CE280C">
        <w:rPr>
          <w:lang w:val="en-GB"/>
        </w:rPr>
        <w:t xml:space="preserve"> in line with the new recommendations </w:t>
      </w:r>
      <w:r w:rsidR="00051420" w:rsidRPr="00051420">
        <w:rPr>
          <w:lang w:val="en-GB"/>
        </w:rPr>
        <w:t xml:space="preserve">and </w:t>
      </w:r>
      <w:r w:rsidR="00CE280C">
        <w:rPr>
          <w:lang w:val="en-GB"/>
        </w:rPr>
        <w:t xml:space="preserve">to improve </w:t>
      </w:r>
      <w:r w:rsidR="00051420" w:rsidRPr="00051420">
        <w:rPr>
          <w:lang w:val="en-GB"/>
        </w:rPr>
        <w:t xml:space="preserve">comparability of interventions across </w:t>
      </w:r>
      <w:r w:rsidR="00051420">
        <w:rPr>
          <w:lang w:val="en-GB"/>
        </w:rPr>
        <w:t xml:space="preserve">different </w:t>
      </w:r>
      <w:r w:rsidR="00051420" w:rsidRPr="00051420">
        <w:rPr>
          <w:lang w:val="en-GB"/>
        </w:rPr>
        <w:t xml:space="preserve">programs </w:t>
      </w:r>
    </w:p>
    <w:p w14:paraId="13C87B0E" w14:textId="2DD45BE2" w:rsidR="002A25F7" w:rsidRDefault="002A25F7" w:rsidP="002A25F7">
      <w:pPr>
        <w:rPr>
          <w:lang w:val="en-GB"/>
        </w:rPr>
      </w:pPr>
    </w:p>
    <w:p w14:paraId="11498838" w14:textId="77777777" w:rsidR="002A25F7" w:rsidRPr="00CB2207" w:rsidRDefault="002A25F7" w:rsidP="002A25F7">
      <w:pPr>
        <w:jc w:val="both"/>
        <w:rPr>
          <w:b/>
          <w:bCs/>
          <w:u w:val="single"/>
          <w:lang w:val="en-GB"/>
        </w:rPr>
      </w:pPr>
      <w:r w:rsidRPr="00CB2207">
        <w:rPr>
          <w:b/>
          <w:bCs/>
          <w:u w:val="single"/>
          <w:lang w:val="en-GB"/>
        </w:rPr>
        <w:t>Method of work:</w:t>
      </w:r>
    </w:p>
    <w:p w14:paraId="4CFB8464" w14:textId="2424F0EB" w:rsidR="002A25F7" w:rsidRDefault="0059522B" w:rsidP="002A25F7">
      <w:pPr>
        <w:jc w:val="both"/>
        <w:rPr>
          <w:lang w:val="en-GB"/>
        </w:rPr>
      </w:pPr>
      <w:r>
        <w:rPr>
          <w:lang w:val="en-GB"/>
        </w:rPr>
        <w:t xml:space="preserve">The 10 topics </w:t>
      </w:r>
      <w:r w:rsidR="007A35C8">
        <w:rPr>
          <w:lang w:val="en-GB"/>
        </w:rPr>
        <w:t xml:space="preserve">listed above will be </w:t>
      </w:r>
      <w:r w:rsidR="00C36CE4">
        <w:rPr>
          <w:lang w:val="en-GB"/>
        </w:rPr>
        <w:t xml:space="preserve">presented by technical resource persons at a WHO/TDR Technical Consultation with NMCP </w:t>
      </w:r>
      <w:r w:rsidR="00951390">
        <w:rPr>
          <w:lang w:val="en-GB"/>
        </w:rPr>
        <w:t xml:space="preserve">focal points for SMC invited as discussants for all the above sections.  </w:t>
      </w:r>
      <w:r w:rsidR="003501DE">
        <w:rPr>
          <w:lang w:val="en-GB"/>
        </w:rPr>
        <w:t>Technical resource persons of agencies supporting SMC implementation will also be invited to attend the meeting, as well as</w:t>
      </w:r>
      <w:r w:rsidR="003E1FBD">
        <w:rPr>
          <w:lang w:val="en-GB"/>
        </w:rPr>
        <w:t>, as Observers,</w:t>
      </w:r>
      <w:r w:rsidR="003501DE">
        <w:rPr>
          <w:lang w:val="en-GB"/>
        </w:rPr>
        <w:t xml:space="preserve"> </w:t>
      </w:r>
      <w:r w:rsidR="003E1FBD">
        <w:rPr>
          <w:lang w:val="en-GB"/>
        </w:rPr>
        <w:t>r</w:t>
      </w:r>
      <w:r w:rsidR="00951390">
        <w:rPr>
          <w:lang w:val="en-GB"/>
        </w:rPr>
        <w:t xml:space="preserve">epresentatives of </w:t>
      </w:r>
      <w:r w:rsidR="003E1FBD">
        <w:rPr>
          <w:lang w:val="en-GB"/>
        </w:rPr>
        <w:t xml:space="preserve">agencies funding SMC.  </w:t>
      </w:r>
      <w:r w:rsidR="00476AD0">
        <w:rPr>
          <w:lang w:val="en-GB"/>
        </w:rPr>
        <w:t xml:space="preserve"> </w:t>
      </w:r>
    </w:p>
    <w:p w14:paraId="331F2E17" w14:textId="325CC59D" w:rsidR="002A25F7" w:rsidRDefault="00476AD0" w:rsidP="00DA5FAC">
      <w:pPr>
        <w:jc w:val="both"/>
        <w:rPr>
          <w:lang w:val="en-GB"/>
        </w:rPr>
      </w:pPr>
      <w:r>
        <w:rPr>
          <w:lang w:val="en-GB"/>
        </w:rPr>
        <w:t xml:space="preserve">The draft SMC field manual updated </w:t>
      </w:r>
      <w:r w:rsidR="00CE6E9B">
        <w:rPr>
          <w:lang w:val="en-GB"/>
        </w:rPr>
        <w:t xml:space="preserve">on the basis of the WHO/TDR Technical Consultation held in October 2019 will serve as working draft.  </w:t>
      </w:r>
      <w:r w:rsidR="002A25F7">
        <w:rPr>
          <w:lang w:val="en-GB"/>
        </w:rPr>
        <w:t xml:space="preserve">The Rapporteur of the meeting and WHO Secretariat, based on the outcomes of the discussions will </w:t>
      </w:r>
      <w:r w:rsidR="00E4674B">
        <w:rPr>
          <w:lang w:val="en-GB"/>
        </w:rPr>
        <w:t xml:space="preserve">incorporate all inputs in </w:t>
      </w:r>
      <w:r w:rsidR="002A25F7">
        <w:rPr>
          <w:lang w:val="en-GB"/>
        </w:rPr>
        <w:t xml:space="preserve">the </w:t>
      </w:r>
      <w:r w:rsidR="002B031F">
        <w:rPr>
          <w:lang w:val="en-GB"/>
        </w:rPr>
        <w:t>new version of the field manual</w:t>
      </w:r>
      <w:r w:rsidR="00E4674B">
        <w:rPr>
          <w:lang w:val="en-GB"/>
        </w:rPr>
        <w:t xml:space="preserve">, share the draft with the all meeting participants and then </w:t>
      </w:r>
      <w:r w:rsidR="00DA5FAC">
        <w:rPr>
          <w:lang w:val="en-GB"/>
        </w:rPr>
        <w:t xml:space="preserve">finalise for publication. </w:t>
      </w:r>
    </w:p>
    <w:p w14:paraId="51A878A7" w14:textId="77777777" w:rsidR="002A25F7" w:rsidRDefault="002A25F7" w:rsidP="002A25F7">
      <w:pPr>
        <w:jc w:val="both"/>
        <w:rPr>
          <w:lang w:val="en-GB"/>
        </w:rPr>
      </w:pPr>
    </w:p>
    <w:p w14:paraId="25CEAB9B" w14:textId="77777777" w:rsidR="007938A6" w:rsidRDefault="007938A6">
      <w:pPr>
        <w:rPr>
          <w:b/>
          <w:bCs/>
          <w:u w:val="single"/>
          <w:lang w:val="en-GB"/>
        </w:rPr>
      </w:pPr>
      <w:r>
        <w:rPr>
          <w:b/>
          <w:bCs/>
          <w:u w:val="single"/>
          <w:lang w:val="en-GB"/>
        </w:rPr>
        <w:br w:type="page"/>
      </w:r>
    </w:p>
    <w:p w14:paraId="472973B6" w14:textId="3B46CA60" w:rsidR="002A25F7" w:rsidRPr="00CB2207" w:rsidRDefault="007938A6" w:rsidP="002A25F7">
      <w:pPr>
        <w:jc w:val="both"/>
        <w:rPr>
          <w:b/>
          <w:bCs/>
          <w:u w:val="single"/>
          <w:lang w:val="en-GB"/>
        </w:rPr>
      </w:pPr>
      <w:r>
        <w:rPr>
          <w:b/>
          <w:bCs/>
          <w:u w:val="single"/>
          <w:lang w:val="en-GB"/>
        </w:rPr>
        <w:lastRenderedPageBreak/>
        <w:t>Proposed t</w:t>
      </w:r>
      <w:r w:rsidR="002A25F7" w:rsidRPr="00CB2207">
        <w:rPr>
          <w:b/>
          <w:bCs/>
          <w:u w:val="single"/>
          <w:lang w:val="en-GB"/>
        </w:rPr>
        <w:t>ime</w:t>
      </w:r>
      <w:r>
        <w:rPr>
          <w:b/>
          <w:bCs/>
          <w:u w:val="single"/>
          <w:lang w:val="en-GB"/>
        </w:rPr>
        <w:t>lines</w:t>
      </w:r>
    </w:p>
    <w:p w14:paraId="1C48ED2E" w14:textId="3886F374" w:rsidR="002A25F7" w:rsidRDefault="00DA5FAC" w:rsidP="002A25F7">
      <w:pPr>
        <w:jc w:val="both"/>
        <w:rPr>
          <w:lang w:val="en-GB"/>
        </w:rPr>
      </w:pPr>
      <w:r>
        <w:rPr>
          <w:lang w:val="en-GB"/>
        </w:rPr>
        <w:t xml:space="preserve">Assignment of topics </w:t>
      </w:r>
      <w:r w:rsidR="002A25F7">
        <w:rPr>
          <w:lang w:val="en-GB"/>
        </w:rPr>
        <w:t xml:space="preserve">to </w:t>
      </w:r>
      <w:r w:rsidR="007575EF">
        <w:rPr>
          <w:lang w:val="en-GB"/>
        </w:rPr>
        <w:t>e</w:t>
      </w:r>
      <w:r w:rsidR="002A25F7">
        <w:rPr>
          <w:lang w:val="en-GB"/>
        </w:rPr>
        <w:t>xperts</w:t>
      </w:r>
      <w:r w:rsidR="002A25F7">
        <w:rPr>
          <w:lang w:val="en-GB"/>
        </w:rPr>
        <w:tab/>
      </w:r>
      <w:r w:rsidR="002A25F7">
        <w:rPr>
          <w:lang w:val="en-GB"/>
        </w:rPr>
        <w:tab/>
        <w:t>1</w:t>
      </w:r>
      <w:r w:rsidR="0078488D">
        <w:rPr>
          <w:lang w:val="en-GB"/>
        </w:rPr>
        <w:t>5</w:t>
      </w:r>
      <w:r w:rsidR="002A25F7">
        <w:rPr>
          <w:lang w:val="en-GB"/>
        </w:rPr>
        <w:t xml:space="preserve"> </w:t>
      </w:r>
      <w:r w:rsidR="0078488D">
        <w:rPr>
          <w:lang w:val="en-GB"/>
        </w:rPr>
        <w:t>October</w:t>
      </w:r>
      <w:r w:rsidR="002A25F7">
        <w:rPr>
          <w:lang w:val="en-GB"/>
        </w:rPr>
        <w:t xml:space="preserve"> 2022</w:t>
      </w:r>
      <w:r w:rsidR="002A25F7">
        <w:rPr>
          <w:lang w:val="en-GB"/>
        </w:rPr>
        <w:tab/>
        <w:t xml:space="preserve">   </w:t>
      </w:r>
      <w:r w:rsidR="002A25F7">
        <w:rPr>
          <w:lang w:val="en-GB"/>
        </w:rPr>
        <w:tab/>
        <w:t>WHO Secretariat</w:t>
      </w:r>
    </w:p>
    <w:p w14:paraId="41B62737" w14:textId="744DA3BD" w:rsidR="002A25F7" w:rsidRDefault="00AE311F" w:rsidP="002A25F7">
      <w:pPr>
        <w:jc w:val="both"/>
        <w:rPr>
          <w:lang w:val="en-GB"/>
        </w:rPr>
      </w:pPr>
      <w:r>
        <w:rPr>
          <w:lang w:val="en-GB"/>
        </w:rPr>
        <w:t>WHO/TDR meeting in presence</w:t>
      </w:r>
      <w:r w:rsidR="002A25F7">
        <w:rPr>
          <w:lang w:val="en-GB"/>
        </w:rPr>
        <w:tab/>
        <w:t xml:space="preserve">     </w:t>
      </w:r>
      <w:r w:rsidR="0078488D">
        <w:rPr>
          <w:lang w:val="en-GB"/>
        </w:rPr>
        <w:t>21-23 November</w:t>
      </w:r>
      <w:r w:rsidR="007575EF">
        <w:rPr>
          <w:lang w:val="en-GB"/>
        </w:rPr>
        <w:t xml:space="preserve"> </w:t>
      </w:r>
      <w:r w:rsidR="002A25F7">
        <w:rPr>
          <w:lang w:val="en-GB"/>
        </w:rPr>
        <w:t xml:space="preserve">2022        </w:t>
      </w:r>
      <w:r w:rsidR="002A25F7">
        <w:rPr>
          <w:lang w:val="en-GB"/>
        </w:rPr>
        <w:tab/>
        <w:t>Experts + Observers + Secretariat</w:t>
      </w:r>
    </w:p>
    <w:p w14:paraId="040B4359" w14:textId="24127C45" w:rsidR="002A25F7" w:rsidRDefault="008B4703" w:rsidP="002A25F7">
      <w:pPr>
        <w:jc w:val="both"/>
        <w:rPr>
          <w:lang w:val="en-GB"/>
        </w:rPr>
      </w:pPr>
      <w:r>
        <w:rPr>
          <w:lang w:val="en-GB"/>
        </w:rPr>
        <w:t>Draft SMC Field Manual</w:t>
      </w:r>
      <w:r w:rsidR="00E41161">
        <w:rPr>
          <w:lang w:val="en-GB"/>
        </w:rPr>
        <w:tab/>
      </w:r>
      <w:r w:rsidR="002A25F7">
        <w:rPr>
          <w:lang w:val="en-GB"/>
        </w:rPr>
        <w:t xml:space="preserve">     </w:t>
      </w:r>
      <w:r w:rsidR="00E41161">
        <w:rPr>
          <w:lang w:val="en-GB"/>
        </w:rPr>
        <w:tab/>
      </w:r>
      <w:r w:rsidR="007938A6">
        <w:rPr>
          <w:lang w:val="en-GB"/>
        </w:rPr>
        <w:tab/>
      </w:r>
      <w:r w:rsidR="00CC04B9">
        <w:rPr>
          <w:lang w:val="en-GB"/>
        </w:rPr>
        <w:t>15</w:t>
      </w:r>
      <w:r w:rsidR="002A25F7">
        <w:rPr>
          <w:lang w:val="en-GB"/>
        </w:rPr>
        <w:t xml:space="preserve"> </w:t>
      </w:r>
      <w:r w:rsidR="00CC04B9">
        <w:rPr>
          <w:lang w:val="en-GB"/>
        </w:rPr>
        <w:t xml:space="preserve">December </w:t>
      </w:r>
      <w:r w:rsidR="002A25F7">
        <w:rPr>
          <w:lang w:val="en-GB"/>
        </w:rPr>
        <w:t xml:space="preserve">2022        </w:t>
      </w:r>
      <w:r w:rsidR="002A25F7">
        <w:rPr>
          <w:lang w:val="en-GB"/>
        </w:rPr>
        <w:tab/>
        <w:t xml:space="preserve">    </w:t>
      </w:r>
      <w:r w:rsidR="002A25F7">
        <w:rPr>
          <w:lang w:val="en-GB"/>
        </w:rPr>
        <w:tab/>
      </w:r>
      <w:r w:rsidR="007938A6">
        <w:rPr>
          <w:lang w:val="en-GB"/>
        </w:rPr>
        <w:t xml:space="preserve">Rapporteur/Writer </w:t>
      </w:r>
    </w:p>
    <w:p w14:paraId="5BB070D1" w14:textId="1C5F4B32" w:rsidR="00CC38B3" w:rsidRDefault="007938A6" w:rsidP="002A25F7">
      <w:pPr>
        <w:jc w:val="both"/>
        <w:rPr>
          <w:lang w:val="en-GB"/>
        </w:rPr>
      </w:pPr>
      <w:r>
        <w:rPr>
          <w:lang w:val="en-GB"/>
        </w:rPr>
        <w:t xml:space="preserve">Review </w:t>
      </w:r>
      <w:r w:rsidR="00311F34">
        <w:rPr>
          <w:lang w:val="en-GB"/>
        </w:rPr>
        <w:t xml:space="preserve">draft SMC manual </w:t>
      </w:r>
      <w:r w:rsidR="00311F34">
        <w:rPr>
          <w:lang w:val="en-GB"/>
        </w:rPr>
        <w:tab/>
      </w:r>
      <w:r w:rsidR="00311F34">
        <w:rPr>
          <w:lang w:val="en-GB"/>
        </w:rPr>
        <w:tab/>
      </w:r>
      <w:r w:rsidR="00CC38B3">
        <w:rPr>
          <w:lang w:val="en-GB"/>
        </w:rPr>
        <w:t xml:space="preserve">15 </w:t>
      </w:r>
      <w:r w:rsidR="00CC04B9">
        <w:rPr>
          <w:lang w:val="en-GB"/>
        </w:rPr>
        <w:t xml:space="preserve">January </w:t>
      </w:r>
      <w:r w:rsidR="00CC38B3">
        <w:rPr>
          <w:lang w:val="en-GB"/>
        </w:rPr>
        <w:t>202</w:t>
      </w:r>
      <w:r w:rsidR="00CC04B9">
        <w:rPr>
          <w:lang w:val="en-GB"/>
        </w:rPr>
        <w:t>3</w:t>
      </w:r>
      <w:r w:rsidR="002A25F7">
        <w:rPr>
          <w:lang w:val="en-GB"/>
        </w:rPr>
        <w:tab/>
      </w:r>
      <w:r w:rsidR="002A25F7">
        <w:rPr>
          <w:lang w:val="en-GB"/>
        </w:rPr>
        <w:tab/>
      </w:r>
      <w:r w:rsidR="00CC38B3">
        <w:rPr>
          <w:lang w:val="en-GB"/>
        </w:rPr>
        <w:t>Experts</w:t>
      </w:r>
    </w:p>
    <w:p w14:paraId="3F23630E" w14:textId="249C6C4C" w:rsidR="002A25F7" w:rsidRDefault="00CC38B3" w:rsidP="002A25F7">
      <w:pPr>
        <w:jc w:val="both"/>
        <w:rPr>
          <w:lang w:val="en-GB"/>
        </w:rPr>
      </w:pPr>
      <w:r>
        <w:rPr>
          <w:lang w:val="en-GB"/>
        </w:rPr>
        <w:t xml:space="preserve">Finalisation and publication </w:t>
      </w:r>
      <w:r>
        <w:rPr>
          <w:lang w:val="en-GB"/>
        </w:rPr>
        <w:tab/>
      </w:r>
      <w:r>
        <w:rPr>
          <w:lang w:val="en-GB"/>
        </w:rPr>
        <w:tab/>
        <w:t xml:space="preserve">15 </w:t>
      </w:r>
      <w:r w:rsidR="00CC04B9">
        <w:rPr>
          <w:lang w:val="en-GB"/>
        </w:rPr>
        <w:t xml:space="preserve">February </w:t>
      </w:r>
      <w:r>
        <w:rPr>
          <w:lang w:val="en-GB"/>
        </w:rPr>
        <w:t>202</w:t>
      </w:r>
      <w:r w:rsidR="00CC04B9">
        <w:rPr>
          <w:lang w:val="en-GB"/>
        </w:rPr>
        <w:t>3</w:t>
      </w:r>
      <w:r w:rsidR="002A25F7">
        <w:rPr>
          <w:lang w:val="en-GB"/>
        </w:rPr>
        <w:tab/>
        <w:t xml:space="preserve">    </w:t>
      </w:r>
      <w:r w:rsidR="002A25F7">
        <w:rPr>
          <w:lang w:val="en-GB"/>
        </w:rPr>
        <w:tab/>
        <w:t>Rapporteur + Secretariat</w:t>
      </w:r>
    </w:p>
    <w:p w14:paraId="46D5C092" w14:textId="77777777" w:rsidR="002A25F7" w:rsidRPr="002A25F7" w:rsidRDefault="002A25F7" w:rsidP="002A25F7">
      <w:pPr>
        <w:rPr>
          <w:lang w:val="en-GB"/>
        </w:rPr>
      </w:pPr>
    </w:p>
    <w:p w14:paraId="581FC89A" w14:textId="7BF5FE45" w:rsidR="00524000" w:rsidRDefault="00524000" w:rsidP="00524000">
      <w:pPr>
        <w:rPr>
          <w:lang w:val="en-GB"/>
        </w:rPr>
      </w:pPr>
    </w:p>
    <w:p w14:paraId="2728946E" w14:textId="77777777" w:rsidR="00524000" w:rsidRPr="00524000" w:rsidRDefault="00524000" w:rsidP="00524000">
      <w:pPr>
        <w:rPr>
          <w:lang w:val="en-GB"/>
        </w:rPr>
      </w:pPr>
    </w:p>
    <w:sectPr w:rsidR="00524000" w:rsidRPr="005240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3A0"/>
    <w:multiLevelType w:val="hybridMultilevel"/>
    <w:tmpl w:val="F4F62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D1670"/>
    <w:multiLevelType w:val="hybridMultilevel"/>
    <w:tmpl w:val="F06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5"/>
    <w:rsid w:val="00003DBB"/>
    <w:rsid w:val="000041FB"/>
    <w:rsid w:val="00051420"/>
    <w:rsid w:val="00075015"/>
    <w:rsid w:val="00093238"/>
    <w:rsid w:val="000A0F98"/>
    <w:rsid w:val="000A54A4"/>
    <w:rsid w:val="000E55D6"/>
    <w:rsid w:val="00123B0B"/>
    <w:rsid w:val="00126F1B"/>
    <w:rsid w:val="00137A9E"/>
    <w:rsid w:val="00175670"/>
    <w:rsid w:val="001B4599"/>
    <w:rsid w:val="001D6208"/>
    <w:rsid w:val="00251066"/>
    <w:rsid w:val="00275E88"/>
    <w:rsid w:val="00290F89"/>
    <w:rsid w:val="002A25F7"/>
    <w:rsid w:val="002B031F"/>
    <w:rsid w:val="002B4932"/>
    <w:rsid w:val="002B7188"/>
    <w:rsid w:val="00311F34"/>
    <w:rsid w:val="00316588"/>
    <w:rsid w:val="00344C40"/>
    <w:rsid w:val="003501DE"/>
    <w:rsid w:val="0037103F"/>
    <w:rsid w:val="003A54D4"/>
    <w:rsid w:val="003B1254"/>
    <w:rsid w:val="003E1FBD"/>
    <w:rsid w:val="003F48D9"/>
    <w:rsid w:val="00461B6F"/>
    <w:rsid w:val="00462862"/>
    <w:rsid w:val="00476AD0"/>
    <w:rsid w:val="00481868"/>
    <w:rsid w:val="004A7206"/>
    <w:rsid w:val="004C4A1E"/>
    <w:rsid w:val="004D1B1D"/>
    <w:rsid w:val="00524000"/>
    <w:rsid w:val="00544120"/>
    <w:rsid w:val="0059522B"/>
    <w:rsid w:val="005A43FF"/>
    <w:rsid w:val="005B078E"/>
    <w:rsid w:val="005F4E0A"/>
    <w:rsid w:val="00652EB1"/>
    <w:rsid w:val="00665E1F"/>
    <w:rsid w:val="00673078"/>
    <w:rsid w:val="00677A93"/>
    <w:rsid w:val="006801F8"/>
    <w:rsid w:val="006A5745"/>
    <w:rsid w:val="006E2A7F"/>
    <w:rsid w:val="00706BF7"/>
    <w:rsid w:val="007575EF"/>
    <w:rsid w:val="00760C70"/>
    <w:rsid w:val="0078488D"/>
    <w:rsid w:val="00790349"/>
    <w:rsid w:val="007938A6"/>
    <w:rsid w:val="007A35C8"/>
    <w:rsid w:val="007B16D5"/>
    <w:rsid w:val="007C0923"/>
    <w:rsid w:val="00820EA7"/>
    <w:rsid w:val="008235B6"/>
    <w:rsid w:val="008A2BD9"/>
    <w:rsid w:val="008B4703"/>
    <w:rsid w:val="008C212F"/>
    <w:rsid w:val="008C224F"/>
    <w:rsid w:val="00951390"/>
    <w:rsid w:val="00986AA5"/>
    <w:rsid w:val="009B3B6E"/>
    <w:rsid w:val="009D1E93"/>
    <w:rsid w:val="00A86AE5"/>
    <w:rsid w:val="00A94FBA"/>
    <w:rsid w:val="00AC65D9"/>
    <w:rsid w:val="00AE311F"/>
    <w:rsid w:val="00B0034F"/>
    <w:rsid w:val="00B24FB0"/>
    <w:rsid w:val="00B40E76"/>
    <w:rsid w:val="00B46507"/>
    <w:rsid w:val="00B66B2B"/>
    <w:rsid w:val="00BB4834"/>
    <w:rsid w:val="00BD2443"/>
    <w:rsid w:val="00C36CE4"/>
    <w:rsid w:val="00C504B5"/>
    <w:rsid w:val="00C530F6"/>
    <w:rsid w:val="00CC04B9"/>
    <w:rsid w:val="00CC2D4E"/>
    <w:rsid w:val="00CC38B3"/>
    <w:rsid w:val="00CE280C"/>
    <w:rsid w:val="00CE6E9B"/>
    <w:rsid w:val="00D5008F"/>
    <w:rsid w:val="00D53FBE"/>
    <w:rsid w:val="00D64A5B"/>
    <w:rsid w:val="00D83DB5"/>
    <w:rsid w:val="00D95B24"/>
    <w:rsid w:val="00D96DCF"/>
    <w:rsid w:val="00DA5FAC"/>
    <w:rsid w:val="00DB2DA5"/>
    <w:rsid w:val="00DF3F6F"/>
    <w:rsid w:val="00E3212E"/>
    <w:rsid w:val="00E41161"/>
    <w:rsid w:val="00E4674B"/>
    <w:rsid w:val="00E651E6"/>
    <w:rsid w:val="00E86AD5"/>
    <w:rsid w:val="00E9604A"/>
    <w:rsid w:val="00F86639"/>
    <w:rsid w:val="00F96637"/>
    <w:rsid w:val="00FC0C2C"/>
    <w:rsid w:val="00FE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523C"/>
  <w15:chartTrackingRefBased/>
  <w15:docId w15:val="{087E131B-9BDB-42B7-9E6E-BCEF7126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862"/>
    <w:rPr>
      <w:color w:val="0563C1" w:themeColor="hyperlink"/>
      <w:u w:val="single"/>
    </w:rPr>
  </w:style>
  <w:style w:type="character" w:styleId="UnresolvedMention">
    <w:name w:val="Unresolved Mention"/>
    <w:basedOn w:val="DefaultParagraphFont"/>
    <w:uiPriority w:val="99"/>
    <w:semiHidden/>
    <w:unhideWhenUsed/>
    <w:rsid w:val="00462862"/>
    <w:rPr>
      <w:color w:val="605E5C"/>
      <w:shd w:val="clear" w:color="auto" w:fill="E1DFDD"/>
    </w:rPr>
  </w:style>
  <w:style w:type="character" w:styleId="FollowedHyperlink">
    <w:name w:val="FollowedHyperlink"/>
    <w:basedOn w:val="DefaultParagraphFont"/>
    <w:uiPriority w:val="99"/>
    <w:semiHidden/>
    <w:unhideWhenUsed/>
    <w:rsid w:val="00E3212E"/>
    <w:rPr>
      <w:color w:val="954F72" w:themeColor="followedHyperlink"/>
      <w:u w:val="single"/>
    </w:rPr>
  </w:style>
  <w:style w:type="paragraph" w:styleId="ListParagraph">
    <w:name w:val="List Paragraph"/>
    <w:basedOn w:val="Normal"/>
    <w:uiPriority w:val="34"/>
    <w:qFormat/>
    <w:rsid w:val="005A4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bitstream/handle/10665/85726/9789241504737_eng.pdf?sequence=1&amp;isAllowed=y" TargetMode="External"/><Relationship Id="rId5" Type="http://schemas.openxmlformats.org/officeDocument/2006/relationships/hyperlink" Target="https://apps.who.int/iris/rest/bitstreams/1427681/retrie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BOSMAN, Andrea</dc:creator>
  <cp:keywords/>
  <dc:description/>
  <cp:lastModifiedBy>BOSMAN, Andrea</cp:lastModifiedBy>
  <cp:revision>4</cp:revision>
  <dcterms:created xsi:type="dcterms:W3CDTF">2022-07-27T11:15:00Z</dcterms:created>
  <dcterms:modified xsi:type="dcterms:W3CDTF">2022-10-05T13:11:00Z</dcterms:modified>
</cp:coreProperties>
</file>