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137E" w14:textId="2FACDB0C" w:rsidR="005469EC" w:rsidRPr="005469EC" w:rsidRDefault="005469EC" w:rsidP="005469EC">
      <w:pPr>
        <w:jc w:val="center"/>
        <w:rPr>
          <w:rFonts w:ascii="Verdana" w:hAnsi="Verdana"/>
          <w:b/>
          <w:lang w:val="en-US"/>
        </w:rPr>
      </w:pPr>
      <w:r w:rsidRPr="005469EC">
        <w:rPr>
          <w:rFonts w:ascii="Verdana" w:hAnsi="Verdana"/>
          <w:b/>
          <w:lang w:val="en-US"/>
        </w:rPr>
        <w:t xml:space="preserve">Defining </w:t>
      </w:r>
      <w:proofErr w:type="spellStart"/>
      <w:r w:rsidRPr="005469EC">
        <w:rPr>
          <w:rFonts w:ascii="Verdana" w:hAnsi="Verdana"/>
          <w:b/>
          <w:lang w:val="en-US"/>
        </w:rPr>
        <w:t>pretomanid</w:t>
      </w:r>
      <w:proofErr w:type="spellEnd"/>
      <w:r w:rsidRPr="005469EC">
        <w:rPr>
          <w:rFonts w:ascii="Verdana" w:hAnsi="Verdana"/>
          <w:b/>
          <w:lang w:val="en-US"/>
        </w:rPr>
        <w:t xml:space="preserve"> critical concentration (CC) for </w:t>
      </w:r>
      <w:r>
        <w:rPr>
          <w:rFonts w:ascii="Verdana" w:hAnsi="Verdana"/>
          <w:b/>
          <w:lang w:val="en-US"/>
        </w:rPr>
        <w:t>phenotypic drug-susceptibility testing (DST)</w:t>
      </w:r>
      <w:r w:rsidRPr="005469EC">
        <w:rPr>
          <w:rFonts w:ascii="Verdana" w:hAnsi="Verdana"/>
          <w:b/>
          <w:lang w:val="en-US"/>
        </w:rPr>
        <w:t xml:space="preserve"> method</w:t>
      </w:r>
      <w:r>
        <w:rPr>
          <w:rFonts w:ascii="Verdana" w:hAnsi="Verdana"/>
          <w:b/>
          <w:lang w:val="en-US"/>
        </w:rPr>
        <w:t>s</w:t>
      </w:r>
    </w:p>
    <w:p w14:paraId="6C4CED9C" w14:textId="4C4D5643" w:rsidR="005469EC" w:rsidRPr="008151A7" w:rsidRDefault="005469EC" w:rsidP="005469EC">
      <w:pPr>
        <w:jc w:val="center"/>
        <w:rPr>
          <w:sz w:val="24"/>
        </w:rPr>
      </w:pPr>
      <w:r w:rsidRPr="008151A7">
        <w:rPr>
          <w:sz w:val="24"/>
        </w:rPr>
        <w:t>WHO headquarters, Geneva, Switzerland</w:t>
      </w:r>
      <w:r w:rsidRPr="008151A7">
        <w:rPr>
          <w:sz w:val="24"/>
        </w:rPr>
        <w:br/>
      </w:r>
      <w:r>
        <w:rPr>
          <w:sz w:val="24"/>
        </w:rPr>
        <w:t>1</w:t>
      </w:r>
      <w:r w:rsidRPr="008151A7">
        <w:rPr>
          <w:sz w:val="24"/>
        </w:rPr>
        <w:t>-</w:t>
      </w:r>
      <w:r>
        <w:rPr>
          <w:sz w:val="24"/>
        </w:rPr>
        <w:t>2</w:t>
      </w:r>
      <w:r w:rsidRPr="008151A7">
        <w:rPr>
          <w:sz w:val="24"/>
        </w:rPr>
        <w:t xml:space="preserve"> </w:t>
      </w:r>
      <w:r>
        <w:rPr>
          <w:sz w:val="24"/>
        </w:rPr>
        <w:t xml:space="preserve">December </w:t>
      </w:r>
      <w:r w:rsidRPr="008151A7">
        <w:rPr>
          <w:sz w:val="24"/>
        </w:rPr>
        <w:t>20</w:t>
      </w:r>
      <w:r>
        <w:rPr>
          <w:sz w:val="24"/>
        </w:rPr>
        <w:t>22</w:t>
      </w:r>
    </w:p>
    <w:p w14:paraId="5E4475C0" w14:textId="010E91B6" w:rsidR="005469EC" w:rsidRDefault="005469EC" w:rsidP="005469EC">
      <w:pPr>
        <w:pStyle w:val="Heading2"/>
        <w:jc w:val="center"/>
      </w:pPr>
      <w:r>
        <w:t>Concept note</w:t>
      </w:r>
    </w:p>
    <w:p w14:paraId="2C8C01D9" w14:textId="77777777" w:rsidR="005469EC" w:rsidRDefault="005469EC" w:rsidP="005469EC">
      <w:pPr>
        <w:autoSpaceDE w:val="0"/>
        <w:autoSpaceDN w:val="0"/>
        <w:adjustRightInd w:val="0"/>
        <w:spacing w:after="120"/>
        <w:rPr>
          <w:rFonts w:eastAsia="Calibri" w:cs="Calibri"/>
          <w:bCs w:val="0"/>
          <w:color w:val="000000"/>
          <w:sz w:val="24"/>
          <w:szCs w:val="24"/>
          <w:lang w:val="en-US" w:eastAsia="en-US"/>
        </w:rPr>
      </w:pPr>
    </w:p>
    <w:p w14:paraId="161CE995" w14:textId="26F8A984" w:rsidR="005469EC" w:rsidRPr="008A7232" w:rsidRDefault="005469EC" w:rsidP="005469EC">
      <w:pPr>
        <w:autoSpaceDE w:val="0"/>
        <w:autoSpaceDN w:val="0"/>
        <w:adjustRightInd w:val="0"/>
        <w:spacing w:after="120"/>
        <w:rPr>
          <w:rFonts w:eastAsia="Calibri" w:cs="Calibri"/>
          <w:bCs w:val="0"/>
          <w:color w:val="000000"/>
          <w:sz w:val="24"/>
          <w:szCs w:val="24"/>
          <w:lang w:val="en-US" w:eastAsia="en-US"/>
        </w:rPr>
      </w:pPr>
      <w:r w:rsidRPr="008A723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Phenotypic methods to detect resistance to anti-TB drugs are based on assessment of ability of the </w:t>
      </w:r>
      <w:r w:rsidRPr="004C5C8D">
        <w:rPr>
          <w:rFonts w:eastAsia="Calibri" w:cs="Calibri"/>
          <w:bCs w:val="0"/>
          <w:i/>
          <w:iCs/>
          <w:color w:val="000000"/>
          <w:sz w:val="24"/>
          <w:szCs w:val="24"/>
          <w:lang w:val="en-US" w:eastAsia="en-US"/>
        </w:rPr>
        <w:t>Mycobacterium tuberculosis</w:t>
      </w:r>
      <w:r w:rsidRPr="008A723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 to grow in culture media containing critical concentrations (CC) of specific anti-TB agents (which indicates resistance) or, conversely, its inability to grow in the same media (which indicates sensitivity). Sensitivity is used as a proxy for successful treatment outcome, whereas resistance, a proxy for treatment failure. </w:t>
      </w:r>
    </w:p>
    <w:p w14:paraId="6E39C780" w14:textId="77777777" w:rsidR="005469EC" w:rsidRPr="001746E3" w:rsidRDefault="005469EC" w:rsidP="005469EC">
      <w:pPr>
        <w:pStyle w:val="Heading1"/>
        <w:shd w:val="clear" w:color="auto" w:fill="FFFFFF"/>
        <w:spacing w:before="89" w:after="89"/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Minimum inhibitory concentration (MIC) is the lowest concentration of an antimicrobial agent that prevents growth of a microorganism in a solid medium or broth dilution susceptibility test</w:t>
      </w:r>
      <w:r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.</w:t>
      </w:r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The Epidemiological cut-off value (ECOFF)</w:t>
      </w:r>
      <w:r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</w:t>
      </w:r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is the MIC that corresponds to the upper end of the </w:t>
      </w:r>
      <w:proofErr w:type="spellStart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pWT</w:t>
      </w:r>
      <w:proofErr w:type="spellEnd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distribution (</w:t>
      </w:r>
      <w:proofErr w:type="gramStart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i.e.</w:t>
      </w:r>
      <w:proofErr w:type="gramEnd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it typically encompasses 99% of </w:t>
      </w:r>
      <w:proofErr w:type="spellStart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pWT</w:t>
      </w:r>
      <w:proofErr w:type="spellEnd"/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strains) and used to define WHO CC. Ideally for break point setting other information should be considered including pharmacokinetic and pharmacodynamic data as well as clinical outcomes. The association between a drug MIC and outcome for TB is not straightforward</w:t>
      </w:r>
      <w:r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>, however,</w:t>
      </w:r>
      <w:r w:rsidRPr="001746E3">
        <w:rPr>
          <w:rFonts w:ascii="Calibri" w:eastAsia="Calibri" w:hAnsi="Calibri" w:cs="Calibr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as multi-drug regimens are used.</w:t>
      </w:r>
    </w:p>
    <w:p w14:paraId="39A7798E" w14:textId="77777777" w:rsidR="005469EC" w:rsidRPr="008A7232" w:rsidRDefault="005469EC" w:rsidP="005469EC">
      <w:pPr>
        <w:spacing w:after="0"/>
        <w:jc w:val="both"/>
        <w:rPr>
          <w:rFonts w:eastAsia="Calibri" w:cs="Calibri"/>
          <w:bCs w:val="0"/>
          <w:color w:val="000000"/>
          <w:sz w:val="24"/>
          <w:szCs w:val="24"/>
          <w:lang w:val="en-US" w:eastAsia="en-US"/>
        </w:rPr>
      </w:pPr>
      <w:r w:rsidRPr="008A723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A new anti-TB agent (</w:t>
      </w:r>
      <w:proofErr w:type="spellStart"/>
      <w:r w:rsidRPr="008A723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pretomanid</w:t>
      </w:r>
      <w:proofErr w:type="spellEnd"/>
      <w:r w:rsidRPr="008A723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) is being put into use for the treatment of M/XDR-TB.  DST method is needed to monitor for the emergence of resistance to this anti-TB agent, as it has the potential to improve successful treatment outcomes for patients and reduce the duration of treatment. </w:t>
      </w:r>
    </w:p>
    <w:p w14:paraId="1950D6DE" w14:textId="4178012C" w:rsidR="009A21A8" w:rsidRDefault="00043242"/>
    <w:p w14:paraId="124BCE16" w14:textId="3172CED6" w:rsidR="00100601" w:rsidRPr="003649B9" w:rsidRDefault="00100601" w:rsidP="00100601">
      <w:pPr>
        <w:pStyle w:val="Heading2"/>
        <w:spacing w:before="120" w:line="247" w:lineRule="auto"/>
      </w:pPr>
      <w:r w:rsidRPr="003649B9">
        <w:t>Objective</w:t>
      </w:r>
    </w:p>
    <w:p w14:paraId="44BF8BC8" w14:textId="5F8A2F71" w:rsidR="00763BE3" w:rsidRPr="00043242" w:rsidRDefault="00126532" w:rsidP="00043242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="Calibri"/>
          <w:bCs w:val="0"/>
          <w:color w:val="000000"/>
          <w:sz w:val="24"/>
          <w:szCs w:val="24"/>
          <w:lang w:val="en-US" w:eastAsia="en-US"/>
        </w:rPr>
      </w:pPr>
      <w:r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To review evidence </w:t>
      </w:r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(published and unpublished) on minimal inhibitory concentrations (MICs) to determine the ECOFF(s), assess the association of the ECOFF(s) with clinical outcome data (where available) and lineage </w:t>
      </w:r>
      <w:proofErr w:type="gramStart"/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in order to</w:t>
      </w:r>
      <w:proofErr w:type="gramEnd"/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 define </w:t>
      </w:r>
      <w:proofErr w:type="spellStart"/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pretomanid</w:t>
      </w:r>
      <w:proofErr w:type="spellEnd"/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 CC for MGIT</w:t>
      </w:r>
      <w:r w:rsidR="00D70972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, 7H10, 7H11, LJ</w:t>
      </w:r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 method</w:t>
      </w:r>
      <w:r w:rsidR="00D70972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>s</w:t>
      </w:r>
      <w:r w:rsidR="00763BE3" w:rsidRPr="00043242">
        <w:rPr>
          <w:rFonts w:eastAsia="Calibri" w:cs="Calibri"/>
          <w:bCs w:val="0"/>
          <w:color w:val="000000"/>
          <w:sz w:val="24"/>
          <w:szCs w:val="24"/>
          <w:lang w:val="en-US" w:eastAsia="en-US"/>
        </w:rPr>
        <w:t xml:space="preserve">. </w:t>
      </w:r>
    </w:p>
    <w:p w14:paraId="3487471A" w14:textId="77777777" w:rsidR="00763BE3" w:rsidRDefault="00763BE3" w:rsidP="00D70972">
      <w:pPr>
        <w:pStyle w:val="xmsonormal"/>
        <w:spacing w:before="120" w:after="120" w:line="247" w:lineRule="auto"/>
        <w:ind w:left="720"/>
        <w:rPr>
          <w:rFonts w:asciiTheme="minorHAnsi" w:eastAsiaTheme="minorHAnsi" w:hAnsiTheme="minorHAnsi" w:cstheme="minorBidi"/>
          <w:lang w:val="en-GB"/>
        </w:rPr>
      </w:pPr>
    </w:p>
    <w:p w14:paraId="33D1CA54" w14:textId="77777777" w:rsidR="00100601" w:rsidRDefault="00100601"/>
    <w:sectPr w:rsidR="0010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268AF"/>
    <w:multiLevelType w:val="hybridMultilevel"/>
    <w:tmpl w:val="BAF83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E6A4F"/>
    <w:multiLevelType w:val="hybridMultilevel"/>
    <w:tmpl w:val="6E2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EC"/>
    <w:rsid w:val="00043242"/>
    <w:rsid w:val="00100601"/>
    <w:rsid w:val="00126532"/>
    <w:rsid w:val="00280E9D"/>
    <w:rsid w:val="005469EC"/>
    <w:rsid w:val="00763BE3"/>
    <w:rsid w:val="00837500"/>
    <w:rsid w:val="009D3FA6"/>
    <w:rsid w:val="00D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410C"/>
  <w15:chartTrackingRefBased/>
  <w15:docId w15:val="{26D32787-A43B-4A80-8628-4CFB311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EC"/>
    <w:pPr>
      <w:spacing w:after="200" w:line="240" w:lineRule="auto"/>
    </w:pPr>
    <w:rPr>
      <w:rFonts w:ascii="Calibri" w:eastAsia="SimSun" w:hAnsi="Calibri" w:cs="Arial"/>
      <w:bCs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9E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E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9EC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val="en-GB" w:eastAsia="zh-CN"/>
    </w:rPr>
  </w:style>
  <w:style w:type="paragraph" w:customStyle="1" w:styleId="xmsonormal">
    <w:name w:val="x_msonormal"/>
    <w:basedOn w:val="Normal"/>
    <w:rsid w:val="00100601"/>
    <w:pPr>
      <w:spacing w:after="0"/>
    </w:pPr>
    <w:rPr>
      <w:rFonts w:eastAsia="Calibri" w:cs="Calibri"/>
      <w:b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76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86D20F2032A4295FCEB1A70537C30" ma:contentTypeVersion="14" ma:contentTypeDescription="Create a new document." ma:contentTypeScope="" ma:versionID="d654ef0bd60e9d8e219aa9003ed9212f">
  <xsd:schema xmlns:xsd="http://www.w3.org/2001/XMLSchema" xmlns:xs="http://www.w3.org/2001/XMLSchema" xmlns:p="http://schemas.microsoft.com/office/2006/metadata/properties" xmlns:ns2="1a095f81-4cf4-4963-a9af-3bf20b2cfa7c" xmlns:ns3="88c321ec-7b79-4c54-b042-daa0ff9a9a86" targetNamespace="http://schemas.microsoft.com/office/2006/metadata/properties" ma:root="true" ma:fieldsID="c6c634b369c7cd4475a2fcf41e5036c7" ns2:_="" ns3:_="">
    <xsd:import namespace="1a095f81-4cf4-4963-a9af-3bf20b2cfa7c"/>
    <xsd:import namespace="88c321ec-7b79-4c54-b042-daa0ff9a9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5f81-4cf4-4963-a9af-3bf20b2cf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21ec-7b79-4c54-b042-daa0ff9a9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fd4d649-5c84-4267-85ab-f8aef2a3fc87}" ma:internalName="TaxCatchAll" ma:showField="CatchAllData" ma:web="88c321ec-7b79-4c54-b042-daa0ff9a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B2DA-0310-47DE-90E5-7F12430330FF}"/>
</file>

<file path=customXml/itemProps2.xml><?xml version="1.0" encoding="utf-8"?>
<ds:datastoreItem xmlns:ds="http://schemas.openxmlformats.org/officeDocument/2006/customXml" ds:itemID="{D8837749-D02D-4325-8B47-262341702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KOROBITSYN, Alexei</dc:creator>
  <cp:keywords/>
  <dc:description/>
  <cp:lastModifiedBy>KOROBITSYN, Alexei</cp:lastModifiedBy>
  <cp:revision>7</cp:revision>
  <dcterms:created xsi:type="dcterms:W3CDTF">2022-09-01T11:22:00Z</dcterms:created>
  <dcterms:modified xsi:type="dcterms:W3CDTF">2022-09-01T13:01:00Z</dcterms:modified>
</cp:coreProperties>
</file>